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2-Vurgu4"/>
        <w:tblW w:w="0" w:type="auto"/>
        <w:tblBorders>
          <w:top w:val="single" w:sz="4" w:space="0" w:color="BFBFBF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64E2C" w:rsidRPr="00A47833" w14:paraId="7DE1E901" w14:textId="77777777" w:rsidTr="001A7B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bottom w:val="none" w:sz="0" w:space="0" w:color="auto"/>
            </w:tcBorders>
          </w:tcPr>
          <w:p w14:paraId="672B2972" w14:textId="098FD0BD" w:rsidR="00964E2C" w:rsidRPr="007673ED" w:rsidRDefault="0056413B" w:rsidP="001A7BC4">
            <w:pPr>
              <w:pStyle w:val="stBilgi"/>
              <w:wordWrap w:val="0"/>
              <w:jc w:val="both"/>
              <w:rPr>
                <w:rFonts w:ascii="Times New Roman" w:hAnsi="Times New Roman" w:cs="Times New Roman"/>
                <w:color w:val="BFBFBF"/>
                <w:sz w:val="16"/>
                <w:szCs w:val="16"/>
                <w:lang w:val="en-US"/>
              </w:rPr>
            </w:pPr>
            <w:bookmarkStart w:id="0" w:name="_Hlk76499622"/>
            <w:r>
              <w:rPr>
                <w:rFonts w:ascii="Times New Roman" w:hAnsi="Times New Roman" w:cs="Times New Roman"/>
                <w:b w:val="0"/>
                <w:color w:val="BFBFBF"/>
                <w:sz w:val="16"/>
                <w:szCs w:val="16"/>
                <w:lang w:val="en-US"/>
              </w:rPr>
              <w:t xml:space="preserve">Author, F. </w:t>
            </w:r>
            <w:r w:rsidR="00964E2C" w:rsidRPr="003D48D2">
              <w:rPr>
                <w:rFonts w:ascii="Times New Roman" w:hAnsi="Times New Roman" w:cs="Times New Roman" w:hint="eastAsia"/>
                <w:b w:val="0"/>
                <w:color w:val="BFBFBF"/>
                <w:sz w:val="16"/>
                <w:szCs w:val="16"/>
                <w:lang w:val="en-US"/>
              </w:rPr>
              <w:t>(202</w:t>
            </w:r>
            <w:r w:rsidR="00964E2C">
              <w:rPr>
                <w:rFonts w:ascii="Times New Roman" w:hAnsi="Times New Roman" w:cs="Times New Roman"/>
                <w:b w:val="0"/>
                <w:color w:val="BFBFBF"/>
                <w:sz w:val="16"/>
                <w:szCs w:val="16"/>
                <w:lang w:val="en-US"/>
              </w:rPr>
              <w:t>2</w:t>
            </w:r>
            <w:r w:rsidR="00964E2C" w:rsidRPr="003D48D2">
              <w:rPr>
                <w:rFonts w:ascii="Times New Roman" w:hAnsi="Times New Roman" w:cs="Times New Roman" w:hint="eastAsia"/>
                <w:b w:val="0"/>
                <w:color w:val="BFBFBF"/>
                <w:sz w:val="16"/>
                <w:szCs w:val="16"/>
                <w:lang w:val="en-US"/>
              </w:rPr>
              <w:t xml:space="preserve">). </w:t>
            </w:r>
            <w:r w:rsidR="00964E2C">
              <w:rPr>
                <w:rFonts w:ascii="Times New Roman" w:hAnsi="Times New Roman" w:cs="Times New Roman"/>
                <w:b w:val="0"/>
                <w:color w:val="BFBFBF"/>
                <w:sz w:val="16"/>
                <w:szCs w:val="16"/>
                <w:lang w:val="en-US"/>
              </w:rPr>
              <w:t>Item manuscript template</w:t>
            </w:r>
            <w:r w:rsidR="00964E2C" w:rsidRPr="003D48D2">
              <w:rPr>
                <w:rFonts w:ascii="Times New Roman" w:hAnsi="Times New Roman" w:cs="Times New Roman" w:hint="eastAsia"/>
                <w:b w:val="0"/>
                <w:color w:val="BFBFBF"/>
                <w:sz w:val="16"/>
                <w:szCs w:val="16"/>
                <w:lang w:val="en-US"/>
              </w:rPr>
              <w:t xml:space="preserve">. International technology and education journal, </w:t>
            </w:r>
            <w:r w:rsidR="00964E2C">
              <w:rPr>
                <w:rFonts w:ascii="Times New Roman" w:hAnsi="Times New Roman" w:cs="Times New Roman"/>
                <w:b w:val="0"/>
                <w:color w:val="BFBFBF"/>
                <w:sz w:val="16"/>
                <w:szCs w:val="16"/>
                <w:lang w:val="en-US"/>
              </w:rPr>
              <w:t>6</w:t>
            </w:r>
            <w:r w:rsidR="00964E2C" w:rsidRPr="003D48D2">
              <w:rPr>
                <w:rFonts w:ascii="Times New Roman" w:hAnsi="Times New Roman" w:cs="Times New Roman" w:hint="eastAsia"/>
                <w:b w:val="0"/>
                <w:color w:val="BFBFBF"/>
                <w:sz w:val="16"/>
                <w:szCs w:val="16"/>
                <w:lang w:val="en-US"/>
              </w:rPr>
              <w:t xml:space="preserve">(1), </w:t>
            </w:r>
            <w:r w:rsidR="00964E2C">
              <w:rPr>
                <w:rFonts w:ascii="Times New Roman" w:hAnsi="Times New Roman" w:cs="Times New Roman"/>
                <w:b w:val="0"/>
                <w:color w:val="BFBFBF"/>
                <w:sz w:val="16"/>
                <w:szCs w:val="16"/>
                <w:lang w:val="en-US"/>
              </w:rPr>
              <w:t>83</w:t>
            </w:r>
            <w:r w:rsidR="00964E2C" w:rsidRPr="003D48D2">
              <w:rPr>
                <w:rFonts w:ascii="Times New Roman" w:hAnsi="Times New Roman" w:cs="Times New Roman" w:hint="eastAsia"/>
                <w:b w:val="0"/>
                <w:color w:val="BFBFBF"/>
                <w:sz w:val="16"/>
                <w:szCs w:val="16"/>
                <w:lang w:val="en-US"/>
              </w:rPr>
              <w:t>-</w:t>
            </w:r>
            <w:r w:rsidR="00964E2C">
              <w:rPr>
                <w:rFonts w:ascii="Times New Roman" w:hAnsi="Times New Roman" w:cs="Times New Roman"/>
                <w:b w:val="0"/>
                <w:color w:val="BFBFBF"/>
                <w:sz w:val="16"/>
                <w:szCs w:val="16"/>
                <w:lang w:val="en-US"/>
              </w:rPr>
              <w:t>94</w:t>
            </w:r>
            <w:r w:rsidR="00964E2C" w:rsidRPr="003D48D2">
              <w:rPr>
                <w:rFonts w:ascii="Times New Roman" w:hAnsi="Times New Roman" w:cs="Times New Roman" w:hint="eastAsia"/>
                <w:b w:val="0"/>
                <w:color w:val="BFBFBF"/>
                <w:sz w:val="16"/>
                <w:szCs w:val="16"/>
                <w:lang w:val="en-US"/>
              </w:rPr>
              <w:t>.</w:t>
            </w:r>
          </w:p>
        </w:tc>
      </w:tr>
    </w:tbl>
    <w:bookmarkEnd w:id="0"/>
    <w:p w14:paraId="5EB4CF76" w14:textId="77777777" w:rsidR="003A708D" w:rsidRPr="00597928" w:rsidRDefault="0047556B" w:rsidP="0047556B">
      <w:pPr>
        <w:spacing w:before="200" w:after="200" w:line="240" w:lineRule="auto"/>
        <w:jc w:val="center"/>
        <w:rPr>
          <w:rFonts w:asciiTheme="majorBidi" w:eastAsia="Calibri" w:hAnsiTheme="majorBidi" w:cstheme="majorBidi"/>
          <w:b/>
          <w:sz w:val="32"/>
          <w:szCs w:val="32"/>
          <w:lang w:val="en-US"/>
        </w:rPr>
      </w:pPr>
      <w:r w:rsidRPr="0047556B">
        <w:rPr>
          <w:rFonts w:asciiTheme="majorBidi" w:eastAsia="Calibri" w:hAnsiTheme="majorBidi" w:cstheme="majorBidi"/>
          <w:b/>
          <w:sz w:val="32"/>
          <w:szCs w:val="32"/>
          <w:lang w:val="en-US"/>
        </w:rPr>
        <w:t>ITEJ Manuscript Template</w:t>
      </w:r>
      <w:r>
        <w:rPr>
          <w:rFonts w:asciiTheme="majorBidi" w:eastAsia="Calibri" w:hAnsiTheme="majorBidi" w:cstheme="majorBidi"/>
          <w:b/>
          <w:sz w:val="32"/>
          <w:szCs w:val="32"/>
          <w:lang w:val="en-US"/>
        </w:rPr>
        <w:t xml:space="preserve"> (16 pt.)</w:t>
      </w:r>
    </w:p>
    <w:p w14:paraId="5987C4B2" w14:textId="77777777" w:rsidR="003A708D" w:rsidRDefault="0047556B" w:rsidP="0047556B">
      <w:pPr>
        <w:spacing w:after="120" w:line="240" w:lineRule="auto"/>
        <w:jc w:val="center"/>
        <w:rPr>
          <w:rFonts w:asciiTheme="majorBidi" w:eastAsia="Calibri" w:hAnsiTheme="majorBidi" w:cstheme="majorBidi"/>
          <w:sz w:val="20"/>
          <w:szCs w:val="20"/>
          <w:lang w:val="en-US"/>
        </w:rPr>
      </w:pPr>
      <w:r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First Author, </w:t>
      </w:r>
      <w:hyperlink r:id="rId7" w:history="1">
        <w:r w:rsidRPr="000A30A3">
          <w:rPr>
            <w:rStyle w:val="Kpr"/>
            <w:rFonts w:asciiTheme="majorBidi" w:eastAsia="Calibri" w:hAnsiTheme="majorBidi" w:cstheme="majorBidi"/>
            <w:sz w:val="20"/>
            <w:szCs w:val="20"/>
            <w:lang w:val="en-US"/>
          </w:rPr>
          <w:t>epostafirst@eposta.com</w:t>
        </w:r>
      </w:hyperlink>
      <w:r>
        <w:rPr>
          <w:rFonts w:asciiTheme="majorBidi" w:eastAsia="Calibri" w:hAnsiTheme="majorBidi" w:cstheme="majorBidi"/>
          <w:sz w:val="20"/>
          <w:szCs w:val="20"/>
          <w:lang w:val="en-US"/>
        </w:rPr>
        <w:t>,</w:t>
      </w:r>
      <w:r w:rsidR="00964E2C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Institution,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 </w:t>
      </w:r>
      <w:r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Country, </w:t>
      </w:r>
      <w:hyperlink r:id="rId8" w:history="1">
        <w:r w:rsidRPr="000A30A3">
          <w:rPr>
            <w:rStyle w:val="Kpr"/>
            <w:rFonts w:asciiTheme="majorBidi" w:eastAsia="Calibri" w:hAnsiTheme="majorBidi" w:cstheme="majorBidi"/>
            <w:sz w:val="20"/>
            <w:szCs w:val="20"/>
            <w:lang w:val="en-US"/>
          </w:rPr>
          <w:t>https://orcid.org/orcid-id</w:t>
        </w:r>
      </w:hyperlink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 (10 pt.)</w:t>
      </w:r>
    </w:p>
    <w:p w14:paraId="4891D0E8" w14:textId="77777777" w:rsidR="0047556B" w:rsidRPr="00597928" w:rsidRDefault="0047556B" w:rsidP="0047556B">
      <w:pPr>
        <w:spacing w:after="120" w:line="240" w:lineRule="auto"/>
        <w:jc w:val="center"/>
        <w:rPr>
          <w:rFonts w:asciiTheme="majorBidi" w:eastAsia="Calibri" w:hAnsiTheme="majorBidi" w:cstheme="majorBidi"/>
          <w:sz w:val="20"/>
          <w:szCs w:val="20"/>
          <w:lang w:val="en-US"/>
        </w:rPr>
      </w:pPr>
      <w:r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Second Author, </w:t>
      </w:r>
      <w:hyperlink r:id="rId9" w:history="1">
        <w:r w:rsidRPr="000A30A3">
          <w:rPr>
            <w:rStyle w:val="Kpr"/>
            <w:rFonts w:asciiTheme="majorBidi" w:eastAsia="Calibri" w:hAnsiTheme="majorBidi" w:cstheme="majorBidi"/>
            <w:sz w:val="20"/>
            <w:szCs w:val="20"/>
            <w:lang w:val="en-US"/>
          </w:rPr>
          <w:t>epostasecond@eposta.com</w:t>
        </w:r>
      </w:hyperlink>
      <w:r w:rsidRPr="0047556B">
        <w:rPr>
          <w:rFonts w:asciiTheme="majorBidi" w:eastAsia="Calibri" w:hAnsiTheme="majorBidi" w:cstheme="majorBidi"/>
          <w:sz w:val="20"/>
          <w:szCs w:val="20"/>
          <w:lang w:val="en-US"/>
        </w:rPr>
        <w:t>,</w:t>
      </w:r>
      <w:r w:rsidR="00964E2C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Institution,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 </w:t>
      </w:r>
      <w:r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Country, </w:t>
      </w:r>
      <w:hyperlink r:id="rId10" w:history="1">
        <w:r w:rsidRPr="000A30A3">
          <w:rPr>
            <w:rStyle w:val="Kpr"/>
            <w:rFonts w:asciiTheme="majorBidi" w:eastAsia="Calibri" w:hAnsiTheme="majorBidi" w:cstheme="majorBidi"/>
            <w:sz w:val="20"/>
            <w:szCs w:val="20"/>
            <w:lang w:val="en-US"/>
          </w:rPr>
          <w:t>https://orcid.org/orcid-id</w:t>
        </w:r>
      </w:hyperlink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 (10 pt.)</w:t>
      </w:r>
    </w:p>
    <w:p w14:paraId="1D0831DF" w14:textId="77777777" w:rsidR="003A708D" w:rsidRPr="00597928" w:rsidRDefault="001746DB" w:rsidP="0047556B">
      <w:pPr>
        <w:spacing w:after="80" w:line="240" w:lineRule="auto"/>
        <w:jc w:val="both"/>
        <w:rPr>
          <w:rFonts w:asciiTheme="majorBidi" w:eastAsia="Calibri" w:hAnsiTheme="majorBidi" w:cstheme="majorBidi"/>
          <w:b/>
          <w:sz w:val="20"/>
          <w:szCs w:val="20"/>
          <w:lang w:val="en-US"/>
        </w:rPr>
      </w:pPr>
      <w:r w:rsidRPr="00597928">
        <w:rPr>
          <w:rFonts w:asciiTheme="majorBidi" w:eastAsia="Calibri" w:hAnsiTheme="majorBidi" w:cstheme="majorBidi"/>
          <w:b/>
          <w:sz w:val="20"/>
          <w:szCs w:val="20"/>
          <w:lang w:val="en-US"/>
        </w:rPr>
        <w:t>SUMMARY</w:t>
      </w:r>
      <w:r w:rsidR="0047556B">
        <w:rPr>
          <w:rFonts w:asciiTheme="majorBidi" w:eastAsia="Calibri" w:hAnsiTheme="majorBidi" w:cstheme="majorBidi"/>
          <w:b/>
          <w:sz w:val="20"/>
          <w:szCs w:val="20"/>
          <w:lang w:val="en-US"/>
        </w:rPr>
        <w:t xml:space="preserve"> (10 pt.)</w:t>
      </w:r>
    </w:p>
    <w:p w14:paraId="5E6DE677" w14:textId="77777777" w:rsidR="003A708D" w:rsidRPr="00597928" w:rsidRDefault="007413AD" w:rsidP="00291E98">
      <w:pPr>
        <w:spacing w:after="80" w:line="240" w:lineRule="auto"/>
        <w:jc w:val="both"/>
        <w:rPr>
          <w:rFonts w:asciiTheme="majorBidi" w:eastAsia="Calibri" w:hAnsiTheme="majorBidi" w:cstheme="majorBidi"/>
          <w:sz w:val="20"/>
          <w:szCs w:val="20"/>
          <w:lang w:val="en-US"/>
        </w:rPr>
      </w:pPr>
      <w:r w:rsidRPr="007413AD">
        <w:rPr>
          <w:rFonts w:asciiTheme="majorBidi" w:eastAsia="Calibri" w:hAnsiTheme="majorBidi" w:cstheme="majorBidi"/>
          <w:sz w:val="20"/>
          <w:szCs w:val="20"/>
          <w:lang w:val="en-US"/>
        </w:rPr>
        <w:t>Page Layout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: </w:t>
      </w:r>
      <w:r w:rsidRPr="007413AD">
        <w:rPr>
          <w:rFonts w:asciiTheme="majorBidi" w:eastAsia="Calibri" w:hAnsiTheme="majorBidi" w:cstheme="majorBidi"/>
          <w:sz w:val="20"/>
          <w:szCs w:val="20"/>
          <w:lang w:val="en-US"/>
        </w:rPr>
        <w:t>A4 Vertical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, </w:t>
      </w:r>
      <w:r w:rsidRPr="007413AD">
        <w:rPr>
          <w:rFonts w:asciiTheme="majorBidi" w:eastAsia="Calibri" w:hAnsiTheme="majorBidi" w:cstheme="majorBidi"/>
          <w:sz w:val="20"/>
          <w:szCs w:val="20"/>
          <w:lang w:val="en-US"/>
        </w:rPr>
        <w:t>Font Family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: </w:t>
      </w:r>
      <w:r w:rsidRPr="007413AD">
        <w:rPr>
          <w:rFonts w:asciiTheme="majorBidi" w:eastAsia="Calibri" w:hAnsiTheme="majorBidi" w:cstheme="majorBidi"/>
          <w:sz w:val="20"/>
          <w:szCs w:val="20"/>
          <w:lang w:val="en-US"/>
        </w:rPr>
        <w:t>Times New Roman</w:t>
      </w:r>
      <w:r w:rsidR="00211952">
        <w:rPr>
          <w:rFonts w:asciiTheme="majorBidi" w:eastAsia="Calibri" w:hAnsiTheme="majorBidi" w:cstheme="majorBidi"/>
          <w:sz w:val="20"/>
          <w:szCs w:val="20"/>
          <w:lang w:val="en-US"/>
        </w:rPr>
        <w:t>.</w:t>
      </w:r>
      <w:r w:rsidRPr="007413AD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</w:t>
      </w:r>
      <w:r w:rsidR="0047556B"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The instruction for the preparation of </w:t>
      </w:r>
      <w:r w:rsid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ITEJ</w:t>
      </w:r>
      <w:r w:rsidR="0047556B"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</w:t>
      </w:r>
      <w:r w:rsid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manuscript can be seen </w:t>
      </w:r>
      <w:r w:rsidR="0047556B" w:rsidRPr="0047556B">
        <w:rPr>
          <w:rFonts w:asciiTheme="majorBidi" w:eastAsia="Calibri" w:hAnsiTheme="majorBidi" w:cstheme="majorBidi"/>
          <w:sz w:val="20"/>
          <w:szCs w:val="20"/>
          <w:lang w:val="en-US"/>
        </w:rPr>
        <w:t>in this template. Use of the template will save time during</w:t>
      </w:r>
      <w:r w:rsid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the</w:t>
      </w:r>
      <w:r w:rsidR="0047556B"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production</w:t>
      </w:r>
      <w:r w:rsid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of your</w:t>
      </w:r>
      <w:r w:rsidR="0047556B"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publication</w:t>
      </w:r>
      <w:r w:rsidR="001C5AB2" w:rsidRPr="00597928">
        <w:rPr>
          <w:rFonts w:asciiTheme="majorBidi" w:eastAsia="Calibri" w:hAnsiTheme="majorBidi" w:cstheme="majorBidi"/>
          <w:sz w:val="20"/>
          <w:szCs w:val="20"/>
          <w:lang w:val="en-US"/>
        </w:rPr>
        <w:t>.</w:t>
      </w:r>
      <w:r w:rsidR="003617C4" w:rsidRP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</w:t>
      </w:r>
      <w:r w:rsidR="003617C4"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The instruction for the preparation of 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ITEJ</w:t>
      </w:r>
      <w:r w:rsidR="003617C4"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manuscript can be seen </w:t>
      </w:r>
      <w:r w:rsidR="003617C4" w:rsidRPr="0047556B">
        <w:rPr>
          <w:rFonts w:asciiTheme="majorBidi" w:eastAsia="Calibri" w:hAnsiTheme="majorBidi" w:cstheme="majorBidi"/>
          <w:sz w:val="20"/>
          <w:szCs w:val="20"/>
          <w:lang w:val="en-US"/>
        </w:rPr>
        <w:t>in this template. Use of the template will save time during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the</w:t>
      </w:r>
      <w:r w:rsidR="003617C4"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production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of your</w:t>
      </w:r>
      <w:r w:rsidR="003617C4"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publication</w:t>
      </w:r>
      <w:r w:rsidR="003617C4" w:rsidRPr="00597928">
        <w:rPr>
          <w:rFonts w:asciiTheme="majorBidi" w:eastAsia="Calibri" w:hAnsiTheme="majorBidi" w:cstheme="majorBidi"/>
          <w:sz w:val="20"/>
          <w:szCs w:val="20"/>
          <w:lang w:val="en-US"/>
        </w:rPr>
        <w:t>.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</w:t>
      </w:r>
      <w:r w:rsidR="003617C4"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The instruction for the preparation of 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ITEJ</w:t>
      </w:r>
      <w:r w:rsidR="003617C4"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manuscript can be seen </w:t>
      </w:r>
      <w:r w:rsidR="003617C4" w:rsidRPr="0047556B">
        <w:rPr>
          <w:rFonts w:asciiTheme="majorBidi" w:eastAsia="Calibri" w:hAnsiTheme="majorBidi" w:cstheme="majorBidi"/>
          <w:sz w:val="20"/>
          <w:szCs w:val="20"/>
          <w:lang w:val="en-US"/>
        </w:rPr>
        <w:t>in this template. Use of the template will save time during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the</w:t>
      </w:r>
      <w:r w:rsidR="003617C4"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production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of your</w:t>
      </w:r>
      <w:r w:rsidR="003617C4"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publication</w:t>
      </w:r>
      <w:r w:rsidR="003617C4" w:rsidRPr="00597928">
        <w:rPr>
          <w:rFonts w:asciiTheme="majorBidi" w:eastAsia="Calibri" w:hAnsiTheme="majorBidi" w:cstheme="majorBidi"/>
          <w:sz w:val="20"/>
          <w:szCs w:val="20"/>
          <w:lang w:val="en-US"/>
        </w:rPr>
        <w:t>.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</w:t>
      </w:r>
      <w:r w:rsidR="003617C4"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The instruction for the preparation of 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ITEJ</w:t>
      </w:r>
      <w:r w:rsidR="003617C4"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manuscript can be seen </w:t>
      </w:r>
      <w:r w:rsidR="003617C4" w:rsidRPr="0047556B">
        <w:rPr>
          <w:rFonts w:asciiTheme="majorBidi" w:eastAsia="Calibri" w:hAnsiTheme="majorBidi" w:cstheme="majorBidi"/>
          <w:sz w:val="20"/>
          <w:szCs w:val="20"/>
          <w:lang w:val="en-US"/>
        </w:rPr>
        <w:t>in this template. Use of the template will save time during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the</w:t>
      </w:r>
      <w:r w:rsidR="003617C4"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production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of your</w:t>
      </w:r>
      <w:r w:rsidR="003617C4"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publication</w:t>
      </w:r>
      <w:r w:rsidR="003617C4" w:rsidRPr="00597928">
        <w:rPr>
          <w:rFonts w:asciiTheme="majorBidi" w:eastAsia="Calibri" w:hAnsiTheme="majorBidi" w:cstheme="majorBidi"/>
          <w:sz w:val="20"/>
          <w:szCs w:val="20"/>
          <w:lang w:val="en-US"/>
        </w:rPr>
        <w:t>.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</w:t>
      </w:r>
      <w:r w:rsidR="003617C4"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The instruction for the preparation of 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ITEJ</w:t>
      </w:r>
      <w:r w:rsidR="003617C4"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manuscript can be seen </w:t>
      </w:r>
      <w:r w:rsidR="003617C4" w:rsidRPr="0047556B">
        <w:rPr>
          <w:rFonts w:asciiTheme="majorBidi" w:eastAsia="Calibri" w:hAnsiTheme="majorBidi" w:cstheme="majorBidi"/>
          <w:sz w:val="20"/>
          <w:szCs w:val="20"/>
          <w:lang w:val="en-US"/>
        </w:rPr>
        <w:t>in this template. Use of the template will save time during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the</w:t>
      </w:r>
      <w:r w:rsidR="003617C4"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production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of your</w:t>
      </w:r>
      <w:r w:rsidR="003617C4"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publication</w:t>
      </w:r>
      <w:r w:rsidR="003617C4" w:rsidRPr="00597928">
        <w:rPr>
          <w:rFonts w:asciiTheme="majorBidi" w:eastAsia="Calibri" w:hAnsiTheme="majorBidi" w:cstheme="majorBidi"/>
          <w:sz w:val="20"/>
          <w:szCs w:val="20"/>
          <w:lang w:val="en-US"/>
        </w:rPr>
        <w:t>.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</w:t>
      </w:r>
      <w:r w:rsidR="003617C4" w:rsidRPr="0047556B">
        <w:rPr>
          <w:rFonts w:asciiTheme="majorBidi" w:eastAsia="Calibri" w:hAnsiTheme="majorBidi" w:cstheme="majorBidi"/>
          <w:sz w:val="20"/>
          <w:szCs w:val="20"/>
          <w:lang w:val="en-US"/>
        </w:rPr>
        <w:t>The instruction for the preparation of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ITEJ</w:t>
      </w:r>
      <w:r w:rsidR="003617C4"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manuscript can be seen </w:t>
      </w:r>
      <w:r w:rsidR="003617C4" w:rsidRPr="0047556B">
        <w:rPr>
          <w:rFonts w:asciiTheme="majorBidi" w:eastAsia="Calibri" w:hAnsiTheme="majorBidi" w:cstheme="majorBidi"/>
          <w:sz w:val="20"/>
          <w:szCs w:val="20"/>
          <w:lang w:val="en-US"/>
        </w:rPr>
        <w:t>in this template. Use of the template will save time during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the</w:t>
      </w:r>
      <w:r w:rsidR="003617C4"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production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of your</w:t>
      </w:r>
      <w:r w:rsidR="003617C4"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publication</w:t>
      </w:r>
      <w:r w:rsidR="003617C4" w:rsidRPr="00597928">
        <w:rPr>
          <w:rFonts w:asciiTheme="majorBidi" w:eastAsia="Calibri" w:hAnsiTheme="majorBidi" w:cstheme="majorBidi"/>
          <w:sz w:val="20"/>
          <w:szCs w:val="20"/>
          <w:lang w:val="en-US"/>
        </w:rPr>
        <w:t>.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</w:t>
      </w:r>
      <w:r w:rsidR="003617C4"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The instruction for the preparation of 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ITEJ</w:t>
      </w:r>
      <w:r w:rsidR="003617C4"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manuscript can be seen </w:t>
      </w:r>
      <w:r w:rsidR="003617C4" w:rsidRPr="0047556B">
        <w:rPr>
          <w:rFonts w:asciiTheme="majorBidi" w:eastAsia="Calibri" w:hAnsiTheme="majorBidi" w:cstheme="majorBidi"/>
          <w:sz w:val="20"/>
          <w:szCs w:val="20"/>
          <w:lang w:val="en-US"/>
        </w:rPr>
        <w:t>in this template. Use of the template will save time during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the</w:t>
      </w:r>
      <w:r w:rsidR="003617C4"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production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of your</w:t>
      </w:r>
      <w:r w:rsidR="003617C4"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publication</w:t>
      </w:r>
      <w:r w:rsidR="003617C4" w:rsidRPr="00597928">
        <w:rPr>
          <w:rFonts w:asciiTheme="majorBidi" w:eastAsia="Calibri" w:hAnsiTheme="majorBidi" w:cstheme="majorBidi"/>
          <w:sz w:val="20"/>
          <w:szCs w:val="20"/>
          <w:lang w:val="en-US"/>
        </w:rPr>
        <w:t>.</w:t>
      </w:r>
      <w:r w:rsid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(10 pt.)</w:t>
      </w:r>
    </w:p>
    <w:p w14:paraId="392F54BF" w14:textId="77777777" w:rsidR="0054701A" w:rsidRPr="0047556B" w:rsidRDefault="00597928" w:rsidP="0047556B">
      <w:pPr>
        <w:spacing w:after="80" w:line="240" w:lineRule="auto"/>
        <w:jc w:val="both"/>
        <w:rPr>
          <w:rFonts w:asciiTheme="majorBidi" w:eastAsia="Calibri" w:hAnsiTheme="majorBidi" w:cstheme="majorBidi"/>
          <w:sz w:val="20"/>
          <w:szCs w:val="20"/>
          <w:lang w:val="en-US"/>
        </w:rPr>
      </w:pPr>
      <w:r>
        <w:rPr>
          <w:rFonts w:asciiTheme="majorBidi" w:eastAsia="Calibri" w:hAnsiTheme="majorBidi" w:cstheme="majorBidi"/>
          <w:b/>
          <w:bCs/>
          <w:sz w:val="20"/>
          <w:szCs w:val="20"/>
          <w:lang w:val="en-US"/>
        </w:rPr>
        <w:t>Keywords</w:t>
      </w:r>
      <w:r w:rsidR="0054701A" w:rsidRPr="0047556B">
        <w:rPr>
          <w:rFonts w:asciiTheme="majorBidi" w:eastAsia="Calibri" w:hAnsiTheme="majorBidi" w:cstheme="majorBidi"/>
          <w:b/>
          <w:bCs/>
          <w:sz w:val="20"/>
          <w:szCs w:val="20"/>
          <w:lang w:val="en-US"/>
        </w:rPr>
        <w:t xml:space="preserve">: </w:t>
      </w:r>
      <w:r w:rsidR="0047556B" w:rsidRPr="0047556B">
        <w:rPr>
          <w:rFonts w:asciiTheme="majorBidi" w:eastAsia="Calibri" w:hAnsiTheme="majorBidi" w:cstheme="majorBidi"/>
          <w:sz w:val="20"/>
          <w:szCs w:val="20"/>
          <w:lang w:val="en-US"/>
        </w:rPr>
        <w:t>Keyword1, keyword2, keyword3 (10 pt.)</w:t>
      </w:r>
    </w:p>
    <w:p w14:paraId="67D30458" w14:textId="77777777" w:rsidR="0054701A" w:rsidRPr="0047556B" w:rsidRDefault="00B26532" w:rsidP="00597928">
      <w:pPr>
        <w:spacing w:after="80" w:line="240" w:lineRule="auto"/>
        <w:jc w:val="both"/>
        <w:rPr>
          <w:rFonts w:asciiTheme="majorBidi" w:eastAsia="Calibri" w:hAnsiTheme="majorBidi" w:cstheme="majorBidi"/>
          <w:b/>
          <w:sz w:val="20"/>
          <w:szCs w:val="20"/>
          <w:lang w:val="en-US"/>
        </w:rPr>
      </w:pPr>
      <w:r w:rsidRPr="0047556B">
        <w:rPr>
          <w:rFonts w:asciiTheme="majorBidi" w:eastAsia="Calibri" w:hAnsiTheme="majorBidi" w:cstheme="majorBidi"/>
          <w:b/>
          <w:sz w:val="20"/>
          <w:szCs w:val="20"/>
          <w:lang w:val="en-US"/>
        </w:rPr>
        <w:t>INTRODUCTION</w:t>
      </w:r>
      <w:r w:rsidR="0047556B" w:rsidRPr="0047556B">
        <w:rPr>
          <w:rFonts w:asciiTheme="majorBidi" w:eastAsia="Calibri" w:hAnsiTheme="majorBidi" w:cstheme="majorBidi"/>
          <w:b/>
          <w:sz w:val="20"/>
          <w:szCs w:val="20"/>
          <w:lang w:val="en-US"/>
        </w:rPr>
        <w:t xml:space="preserve"> (</w:t>
      </w:r>
      <w:r w:rsidR="00B03CC3">
        <w:rPr>
          <w:rFonts w:asciiTheme="majorBidi" w:eastAsia="Calibri" w:hAnsiTheme="majorBidi" w:cstheme="majorBidi"/>
          <w:b/>
          <w:sz w:val="20"/>
          <w:szCs w:val="20"/>
          <w:lang w:val="en-US"/>
        </w:rPr>
        <w:t xml:space="preserve">UPPERCASE, </w:t>
      </w:r>
      <w:r w:rsidR="0047556B" w:rsidRPr="0047556B">
        <w:rPr>
          <w:rFonts w:asciiTheme="majorBidi" w:eastAsia="Calibri" w:hAnsiTheme="majorBidi" w:cstheme="majorBidi"/>
          <w:b/>
          <w:sz w:val="20"/>
          <w:szCs w:val="20"/>
          <w:lang w:val="en-US"/>
        </w:rPr>
        <w:t>10 pt.)</w:t>
      </w:r>
    </w:p>
    <w:p w14:paraId="255A7F75" w14:textId="77777777" w:rsidR="0047556B" w:rsidRDefault="0047556B" w:rsidP="00466024">
      <w:pPr>
        <w:spacing w:after="80" w:line="240" w:lineRule="auto"/>
        <w:jc w:val="both"/>
        <w:rPr>
          <w:rFonts w:asciiTheme="majorBidi" w:eastAsia="Calibri" w:hAnsiTheme="majorBidi" w:cstheme="majorBidi"/>
          <w:sz w:val="20"/>
          <w:szCs w:val="20"/>
          <w:lang w:val="en-US"/>
        </w:rPr>
      </w:pPr>
      <w:r w:rsidRPr="0047556B">
        <w:rPr>
          <w:rFonts w:asciiTheme="majorBidi" w:hAnsiTheme="majorBidi" w:cstheme="majorBidi"/>
          <w:sz w:val="20"/>
          <w:szCs w:val="20"/>
        </w:rPr>
        <w:t>Manuscripts should be prepared in Microsoft Word format</w:t>
      </w:r>
      <w:r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. . If you have any questions, please contact the editor 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>via info@itejournal.com</w:t>
      </w:r>
      <w:r w:rsidR="00B03CC3" w:rsidRPr="00B03CC3">
        <w:t xml:space="preserve"> </w:t>
      </w:r>
      <w:r w:rsidR="00B03CC3" w:rsidRPr="00B03CC3">
        <w:rPr>
          <w:rFonts w:asciiTheme="majorBidi" w:eastAsia="Calibri" w:hAnsiTheme="majorBidi" w:cstheme="majorBidi"/>
          <w:sz w:val="20"/>
          <w:szCs w:val="20"/>
          <w:lang w:val="en-US"/>
        </w:rPr>
        <w:t xml:space="preserve">The publisher and journals have a zero-tolerance plagiarism policy. We check the </w:t>
      </w:r>
      <w:r w:rsidR="00B03CC3">
        <w:rPr>
          <w:rFonts w:asciiTheme="majorBidi" w:eastAsia="Calibri" w:hAnsiTheme="majorBidi" w:cstheme="majorBidi"/>
          <w:sz w:val="20"/>
          <w:szCs w:val="20"/>
          <w:lang w:val="en-US"/>
        </w:rPr>
        <w:t>manuscrpts</w:t>
      </w:r>
      <w:r w:rsidR="00B03CC3" w:rsidRPr="00B03CC3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using i</w:t>
      </w:r>
      <w:r w:rsidR="00B03CC3">
        <w:rPr>
          <w:rFonts w:asciiTheme="majorBidi" w:eastAsia="Calibri" w:hAnsiTheme="majorBidi" w:cstheme="majorBidi"/>
          <w:sz w:val="20"/>
          <w:szCs w:val="20"/>
          <w:lang w:val="en-US"/>
        </w:rPr>
        <w:t>Thenticate</w:t>
      </w:r>
      <w:r w:rsidR="00B03CC3" w:rsidRPr="00B03CC3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</w:t>
      </w:r>
      <w:r w:rsidR="00B03CC3">
        <w:rPr>
          <w:rFonts w:asciiTheme="majorBidi" w:eastAsia="Calibri" w:hAnsiTheme="majorBidi" w:cstheme="majorBidi"/>
          <w:sz w:val="20"/>
          <w:szCs w:val="20"/>
          <w:lang w:val="en-US"/>
        </w:rPr>
        <w:t>plagiarism prevention tool and</w:t>
      </w:r>
      <w:r w:rsidR="00B03CC3" w:rsidRPr="00B03CC3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reviewer check. All submissions will be checked by iThenticate</w:t>
      </w:r>
      <w:r w:rsidR="00B03CC3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before sending to reviewers</w:t>
      </w:r>
      <w:r w:rsidR="004F2503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(</w:t>
      </w:r>
      <w:r w:rsidR="00466024">
        <w:rPr>
          <w:rFonts w:asciiTheme="majorBidi" w:eastAsia="Calibri" w:hAnsiTheme="majorBidi" w:cstheme="majorBidi"/>
          <w:sz w:val="20"/>
          <w:szCs w:val="20"/>
          <w:lang w:val="en-US"/>
        </w:rPr>
        <w:t>A</w:t>
      </w:r>
      <w:r w:rsidR="004F2503">
        <w:rPr>
          <w:rFonts w:asciiTheme="majorBidi" w:eastAsia="Calibri" w:hAnsiTheme="majorBidi" w:cstheme="majorBidi"/>
          <w:sz w:val="20"/>
          <w:szCs w:val="20"/>
          <w:lang w:val="en-US"/>
        </w:rPr>
        <w:t>uthor</w:t>
      </w:r>
      <w:r w:rsidR="00466024">
        <w:rPr>
          <w:rFonts w:asciiTheme="majorBidi" w:eastAsia="Calibri" w:hAnsiTheme="majorBidi" w:cstheme="majorBidi"/>
          <w:sz w:val="20"/>
          <w:szCs w:val="20"/>
          <w:lang w:val="en-US"/>
        </w:rPr>
        <w:t>x</w:t>
      </w:r>
      <w:r w:rsidR="004F2503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&amp; </w:t>
      </w:r>
      <w:r w:rsidR="00466024">
        <w:rPr>
          <w:rFonts w:asciiTheme="majorBidi" w:eastAsia="Calibri" w:hAnsiTheme="majorBidi" w:cstheme="majorBidi"/>
          <w:sz w:val="20"/>
          <w:szCs w:val="20"/>
          <w:lang w:val="en-US"/>
        </w:rPr>
        <w:t>A</w:t>
      </w:r>
      <w:r w:rsidR="004F2503">
        <w:rPr>
          <w:rFonts w:asciiTheme="majorBidi" w:eastAsia="Calibri" w:hAnsiTheme="majorBidi" w:cstheme="majorBidi"/>
          <w:sz w:val="20"/>
          <w:szCs w:val="20"/>
          <w:lang w:val="en-US"/>
        </w:rPr>
        <w:t>uthor</w:t>
      </w:r>
      <w:r w:rsidR="00466024">
        <w:rPr>
          <w:rFonts w:asciiTheme="majorBidi" w:eastAsia="Calibri" w:hAnsiTheme="majorBidi" w:cstheme="majorBidi"/>
          <w:sz w:val="20"/>
          <w:szCs w:val="20"/>
          <w:lang w:val="en-US"/>
        </w:rPr>
        <w:t>y</w:t>
      </w:r>
      <w:r w:rsidR="004F2503">
        <w:rPr>
          <w:rFonts w:asciiTheme="majorBidi" w:eastAsia="Calibri" w:hAnsiTheme="majorBidi" w:cstheme="majorBidi"/>
          <w:sz w:val="20"/>
          <w:szCs w:val="20"/>
          <w:lang w:val="en-US"/>
        </w:rPr>
        <w:t>, 2018)</w:t>
      </w:r>
      <w:r w:rsidR="00B03CC3">
        <w:rPr>
          <w:rFonts w:asciiTheme="majorBidi" w:eastAsia="Calibri" w:hAnsiTheme="majorBidi" w:cstheme="majorBidi"/>
          <w:sz w:val="20"/>
          <w:szCs w:val="20"/>
          <w:lang w:val="en-US"/>
        </w:rPr>
        <w:t>.</w:t>
      </w:r>
    </w:p>
    <w:p w14:paraId="1BD87D07" w14:textId="77777777" w:rsidR="003617C4" w:rsidRPr="0047556B" w:rsidRDefault="003617C4" w:rsidP="003617C4">
      <w:pPr>
        <w:spacing w:after="80" w:line="240" w:lineRule="auto"/>
        <w:jc w:val="both"/>
        <w:rPr>
          <w:rFonts w:asciiTheme="majorBidi" w:eastAsia="Calibri" w:hAnsiTheme="majorBidi" w:cstheme="majorBidi"/>
          <w:b/>
          <w:sz w:val="20"/>
          <w:szCs w:val="20"/>
          <w:lang w:val="en-US"/>
        </w:rPr>
      </w:pPr>
      <w:r w:rsidRPr="0047556B">
        <w:rPr>
          <w:rFonts w:asciiTheme="majorBidi" w:hAnsiTheme="majorBidi" w:cstheme="majorBidi"/>
          <w:sz w:val="20"/>
          <w:szCs w:val="20"/>
        </w:rPr>
        <w:t>Manuscripts should be prepared in Microsoft Word format</w:t>
      </w:r>
      <w:r w:rsidRPr="0047556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. . If you have any questions, please contact the editor 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>via info@itejournal.com</w:t>
      </w:r>
      <w:r w:rsidRPr="00B03CC3">
        <w:t xml:space="preserve"> </w:t>
      </w:r>
      <w:r w:rsidRPr="00B03CC3">
        <w:rPr>
          <w:rFonts w:asciiTheme="majorBidi" w:eastAsia="Calibri" w:hAnsiTheme="majorBidi" w:cstheme="majorBidi"/>
          <w:sz w:val="20"/>
          <w:szCs w:val="20"/>
          <w:lang w:val="en-US"/>
        </w:rPr>
        <w:t xml:space="preserve">The publisher and journals have a zero-tolerance plagiarism policy. We check the 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>manuscrpts</w:t>
      </w:r>
      <w:r w:rsidRPr="00B03CC3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using i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>Thenticate</w:t>
      </w:r>
      <w:r w:rsidRPr="00B03CC3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>plagiarism prevention tool and</w:t>
      </w:r>
      <w:r w:rsidRPr="00B03CC3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reviewer check. All submissions will be checked by iThenticate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 before sending to reviewers.</w:t>
      </w:r>
    </w:p>
    <w:p w14:paraId="5B4140FF" w14:textId="77777777" w:rsidR="00E55FC8" w:rsidRPr="0047556B" w:rsidRDefault="00B03CC3" w:rsidP="0021288B">
      <w:pPr>
        <w:spacing w:after="80" w:line="240" w:lineRule="auto"/>
        <w:jc w:val="both"/>
        <w:rPr>
          <w:rFonts w:asciiTheme="majorBidi" w:eastAsia="Calibri" w:hAnsiTheme="majorBidi" w:cstheme="majorBidi"/>
          <w:b/>
          <w:sz w:val="20"/>
          <w:szCs w:val="20"/>
          <w:lang w:val="en-US"/>
        </w:rPr>
      </w:pPr>
      <w:r>
        <w:rPr>
          <w:rFonts w:asciiTheme="majorBidi" w:eastAsia="Calibri" w:hAnsiTheme="majorBidi" w:cstheme="majorBidi"/>
          <w:b/>
          <w:sz w:val="20"/>
          <w:szCs w:val="20"/>
          <w:lang w:val="en-US"/>
        </w:rPr>
        <w:t>S</w:t>
      </w:r>
      <w:r w:rsidR="0021288B">
        <w:rPr>
          <w:rFonts w:asciiTheme="majorBidi" w:eastAsia="Calibri" w:hAnsiTheme="majorBidi" w:cstheme="majorBidi"/>
          <w:b/>
          <w:sz w:val="20"/>
          <w:szCs w:val="20"/>
          <w:lang w:val="en-US"/>
        </w:rPr>
        <w:t>ubtitle</w:t>
      </w:r>
      <w:r w:rsidR="00F33F97">
        <w:rPr>
          <w:rFonts w:asciiTheme="majorBidi" w:eastAsia="Calibri" w:hAnsiTheme="majorBidi" w:cstheme="majorBidi"/>
          <w:b/>
          <w:sz w:val="20"/>
          <w:szCs w:val="20"/>
          <w:lang w:val="en-US"/>
        </w:rPr>
        <w:t xml:space="preserve"> (if exists, </w:t>
      </w:r>
      <w:r>
        <w:rPr>
          <w:rFonts w:asciiTheme="majorBidi" w:eastAsia="Calibri" w:hAnsiTheme="majorBidi" w:cstheme="majorBidi"/>
          <w:b/>
          <w:sz w:val="20"/>
          <w:szCs w:val="20"/>
          <w:lang w:val="en-US"/>
        </w:rPr>
        <w:t>10 pt.)</w:t>
      </w:r>
    </w:p>
    <w:p w14:paraId="71674D1A" w14:textId="77777777" w:rsidR="007511F8" w:rsidRDefault="00F33F97" w:rsidP="00F33F97">
      <w:pPr>
        <w:spacing w:after="80" w:line="240" w:lineRule="auto"/>
        <w:jc w:val="both"/>
        <w:rPr>
          <w:rFonts w:asciiTheme="majorBidi" w:eastAsia="Calibri" w:hAnsiTheme="majorBidi" w:cstheme="majorBidi"/>
          <w:sz w:val="20"/>
          <w:szCs w:val="20"/>
          <w:lang w:val="en-US"/>
        </w:rPr>
      </w:pPr>
      <w:r>
        <w:rPr>
          <w:rFonts w:asciiTheme="majorBidi" w:eastAsia="Calibri" w:hAnsiTheme="majorBidi" w:cstheme="majorBidi"/>
          <w:sz w:val="20"/>
          <w:szCs w:val="20"/>
          <w:lang w:val="en-US"/>
        </w:rPr>
        <w:t>When you submit a manuscript</w:t>
      </w:r>
      <w:r w:rsidRPr="00F33F97">
        <w:rPr>
          <w:rFonts w:asciiTheme="majorBidi" w:eastAsia="Calibri" w:hAnsiTheme="majorBidi" w:cstheme="majorBidi"/>
          <w:sz w:val="20"/>
          <w:szCs w:val="20"/>
          <w:lang w:val="en-US"/>
        </w:rPr>
        <w:t xml:space="preserve">, the editor or editorial assistant 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>will send</w:t>
      </w:r>
      <w:r w:rsidRPr="00F33F97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>a</w:t>
      </w:r>
      <w:r w:rsidRPr="00F33F97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confirmation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 email</w:t>
      </w:r>
      <w:r w:rsidRPr="00F33F97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to the submission’s author within one to three working days. If you fail to receive this confirmation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 email</w:t>
      </w:r>
      <w:r w:rsidRPr="00F33F97">
        <w:rPr>
          <w:rFonts w:asciiTheme="majorBidi" w:eastAsia="Calibri" w:hAnsiTheme="majorBidi" w:cstheme="majorBidi"/>
          <w:sz w:val="20"/>
          <w:szCs w:val="20"/>
          <w:lang w:val="en-US"/>
        </w:rPr>
        <w:t xml:space="preserve">, please check your 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>spam</w:t>
      </w:r>
      <w:r w:rsidRPr="00F33F97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email box or contact the editorial assistant.</w:t>
      </w:r>
    </w:p>
    <w:p w14:paraId="2305CFD0" w14:textId="77777777" w:rsidR="003E0AEB" w:rsidRPr="00247CDC" w:rsidRDefault="003E0AEB" w:rsidP="00247CDC">
      <w:pPr>
        <w:spacing w:after="80" w:line="240" w:lineRule="auto"/>
        <w:jc w:val="both"/>
        <w:rPr>
          <w:rFonts w:asciiTheme="majorBidi" w:eastAsia="Calibri" w:hAnsiTheme="majorBidi" w:cstheme="majorBidi"/>
          <w:sz w:val="20"/>
          <w:szCs w:val="20"/>
          <w:lang w:val="en-US"/>
        </w:rPr>
      </w:pPr>
      <w:r w:rsidRPr="00247CDC">
        <w:rPr>
          <w:rFonts w:asciiTheme="majorBidi" w:hAnsiTheme="majorBidi" w:cstheme="majorBidi"/>
          <w:sz w:val="20"/>
        </w:rPr>
        <w:t xml:space="preserve">Table 1. </w:t>
      </w:r>
      <w:r w:rsidR="00247CDC" w:rsidRPr="00247CDC">
        <w:rPr>
          <w:rFonts w:asciiTheme="majorBidi" w:hAnsiTheme="majorBidi" w:cstheme="majorBidi"/>
          <w:sz w:val="20"/>
        </w:rPr>
        <w:t>Teachers’ Opinions</w:t>
      </w:r>
    </w:p>
    <w:tbl>
      <w:tblPr>
        <w:tblW w:w="7609" w:type="dxa"/>
        <w:jc w:val="center"/>
        <w:tblBorders>
          <w:top w:val="single" w:sz="4" w:space="0" w:color="000000"/>
          <w:bottom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1701"/>
        <w:gridCol w:w="1560"/>
        <w:gridCol w:w="1376"/>
      </w:tblGrid>
      <w:tr w:rsidR="003E0AEB" w:rsidRPr="003E0AEB" w14:paraId="1BAA1495" w14:textId="77777777" w:rsidTr="00DE2A53">
        <w:trPr>
          <w:trHeight w:val="283"/>
          <w:jc w:val="center"/>
        </w:trPr>
        <w:tc>
          <w:tcPr>
            <w:tcW w:w="29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0231A9" w14:textId="77777777" w:rsidR="003E0AEB" w:rsidRPr="003E0AEB" w:rsidRDefault="003E0AEB" w:rsidP="00C74CC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C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37E4BB" w14:textId="77777777" w:rsidR="003E0AEB" w:rsidRPr="003E0AEB" w:rsidRDefault="003E0AEB" w:rsidP="00C74CC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CA"/>
              </w:rPr>
            </w:pPr>
            <w:r w:rsidRPr="003E0AEB">
              <w:rPr>
                <w:rFonts w:asciiTheme="majorBidi" w:hAnsiTheme="majorBidi" w:cstheme="majorBidi"/>
                <w:sz w:val="20"/>
                <w:szCs w:val="20"/>
                <w:lang w:val="en-CA"/>
              </w:rPr>
              <w:t>Group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4EA696" w14:textId="77777777" w:rsidR="003E0AEB" w:rsidRPr="003E0AEB" w:rsidRDefault="003E0AEB" w:rsidP="00C74CC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CA"/>
              </w:rPr>
            </w:pPr>
            <w:r w:rsidRPr="003E0AEB">
              <w:rPr>
                <w:rFonts w:asciiTheme="majorBidi" w:hAnsiTheme="majorBidi" w:cstheme="majorBidi"/>
                <w:sz w:val="20"/>
                <w:szCs w:val="20"/>
                <w:lang w:val="en-CA"/>
              </w:rPr>
              <w:t>Number</w:t>
            </w:r>
          </w:p>
        </w:tc>
        <w:tc>
          <w:tcPr>
            <w:tcW w:w="137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599B5D" w14:textId="77777777" w:rsidR="003E0AEB" w:rsidRPr="003E0AEB" w:rsidRDefault="003E0AEB" w:rsidP="00C74CC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CA"/>
              </w:rPr>
            </w:pPr>
            <w:r w:rsidRPr="003E0AEB">
              <w:rPr>
                <w:rFonts w:asciiTheme="majorBidi" w:hAnsiTheme="majorBidi" w:cstheme="majorBidi"/>
                <w:sz w:val="20"/>
                <w:szCs w:val="20"/>
                <w:lang w:val="en-CA"/>
              </w:rPr>
              <w:t>Percentage</w:t>
            </w:r>
          </w:p>
        </w:tc>
      </w:tr>
      <w:tr w:rsidR="003E0AEB" w:rsidRPr="003E0AEB" w14:paraId="7B18242E" w14:textId="77777777" w:rsidTr="00DE2A53">
        <w:trPr>
          <w:trHeight w:val="283"/>
          <w:jc w:val="center"/>
        </w:trPr>
        <w:tc>
          <w:tcPr>
            <w:tcW w:w="2972" w:type="dxa"/>
            <w:vMerge w:val="restart"/>
            <w:tcBorders>
              <w:top w:val="single" w:sz="4" w:space="0" w:color="000000"/>
            </w:tcBorders>
            <w:vAlign w:val="center"/>
          </w:tcPr>
          <w:p w14:paraId="66E44AC7" w14:textId="77777777" w:rsidR="003E0AEB" w:rsidRPr="003E0AEB" w:rsidRDefault="003E0AEB" w:rsidP="00C74CCD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  <w:lang w:val="en-CA"/>
              </w:rPr>
            </w:pPr>
            <w:r w:rsidRPr="003E0AEB">
              <w:rPr>
                <w:rFonts w:asciiTheme="majorBidi" w:hAnsiTheme="majorBidi" w:cstheme="majorBidi"/>
                <w:sz w:val="20"/>
                <w:szCs w:val="20"/>
                <w:lang w:val="en-CA"/>
              </w:rPr>
              <w:t>All teachers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vAlign w:val="center"/>
          </w:tcPr>
          <w:p w14:paraId="5F15AC67" w14:textId="77777777" w:rsidR="003E0AEB" w:rsidRPr="003E0AEB" w:rsidRDefault="003E0AEB" w:rsidP="00C74CC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CA"/>
              </w:rPr>
            </w:pPr>
            <w:r w:rsidRPr="003E0AEB">
              <w:rPr>
                <w:rFonts w:asciiTheme="majorBidi" w:hAnsiTheme="majorBidi" w:cstheme="majorBidi"/>
                <w:sz w:val="20"/>
                <w:szCs w:val="20"/>
                <w:lang w:val="en-CA"/>
              </w:rPr>
              <w:t>Approve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vAlign w:val="center"/>
          </w:tcPr>
          <w:p w14:paraId="5D83CBC6" w14:textId="77777777" w:rsidR="003E0AEB" w:rsidRPr="003E0AEB" w:rsidRDefault="003E0AEB" w:rsidP="00C74CC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CA"/>
              </w:rPr>
            </w:pPr>
            <w:r w:rsidRPr="003E0AEB">
              <w:rPr>
                <w:rFonts w:asciiTheme="majorBidi" w:hAnsiTheme="majorBidi" w:cstheme="majorBidi"/>
                <w:sz w:val="20"/>
                <w:szCs w:val="20"/>
                <w:lang w:val="en-CA"/>
              </w:rPr>
              <w:t>584</w:t>
            </w:r>
          </w:p>
        </w:tc>
        <w:tc>
          <w:tcPr>
            <w:tcW w:w="1376" w:type="dxa"/>
            <w:tcBorders>
              <w:top w:val="single" w:sz="4" w:space="0" w:color="000000"/>
            </w:tcBorders>
            <w:vAlign w:val="center"/>
          </w:tcPr>
          <w:p w14:paraId="242D5B66" w14:textId="77777777" w:rsidR="003E0AEB" w:rsidRPr="003E0AEB" w:rsidRDefault="003E0AEB" w:rsidP="00C74CC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CA"/>
              </w:rPr>
            </w:pPr>
            <w:r w:rsidRPr="003E0AEB">
              <w:rPr>
                <w:rFonts w:asciiTheme="majorBidi" w:hAnsiTheme="majorBidi" w:cstheme="majorBidi"/>
                <w:sz w:val="20"/>
                <w:szCs w:val="20"/>
                <w:lang w:val="en-CA"/>
              </w:rPr>
              <w:t>59.4</w:t>
            </w:r>
          </w:p>
        </w:tc>
      </w:tr>
      <w:tr w:rsidR="003E0AEB" w:rsidRPr="003E0AEB" w14:paraId="683ECE55" w14:textId="77777777" w:rsidTr="00DE2A53">
        <w:trPr>
          <w:trHeight w:val="283"/>
          <w:jc w:val="center"/>
        </w:trPr>
        <w:tc>
          <w:tcPr>
            <w:tcW w:w="2972" w:type="dxa"/>
            <w:vMerge/>
            <w:vAlign w:val="center"/>
          </w:tcPr>
          <w:p w14:paraId="6830E787" w14:textId="77777777" w:rsidR="003E0AEB" w:rsidRPr="003E0AEB" w:rsidRDefault="003E0AEB" w:rsidP="00C74CC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CA"/>
              </w:rPr>
            </w:pPr>
          </w:p>
        </w:tc>
        <w:tc>
          <w:tcPr>
            <w:tcW w:w="1701" w:type="dxa"/>
            <w:vAlign w:val="center"/>
          </w:tcPr>
          <w:p w14:paraId="372F18C2" w14:textId="77777777" w:rsidR="003E0AEB" w:rsidRPr="003E0AEB" w:rsidRDefault="003E0AEB" w:rsidP="00C74CC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CA"/>
              </w:rPr>
            </w:pPr>
            <w:r w:rsidRPr="003E0AEB">
              <w:rPr>
                <w:rFonts w:asciiTheme="majorBidi" w:hAnsiTheme="majorBidi" w:cstheme="majorBidi"/>
                <w:sz w:val="20"/>
                <w:szCs w:val="20"/>
                <w:lang w:val="en-CA"/>
              </w:rPr>
              <w:t>Disapprove</w:t>
            </w:r>
          </w:p>
        </w:tc>
        <w:tc>
          <w:tcPr>
            <w:tcW w:w="1560" w:type="dxa"/>
            <w:vAlign w:val="center"/>
          </w:tcPr>
          <w:p w14:paraId="24D5A7D7" w14:textId="77777777" w:rsidR="003E0AEB" w:rsidRPr="003E0AEB" w:rsidRDefault="003E0AEB" w:rsidP="00C74CC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CA"/>
              </w:rPr>
            </w:pPr>
            <w:r w:rsidRPr="003E0AEB">
              <w:rPr>
                <w:rFonts w:asciiTheme="majorBidi" w:hAnsiTheme="majorBidi" w:cstheme="majorBidi"/>
                <w:sz w:val="20"/>
                <w:szCs w:val="20"/>
                <w:lang w:val="en-CA"/>
              </w:rPr>
              <w:t>1431</w:t>
            </w:r>
          </w:p>
        </w:tc>
        <w:tc>
          <w:tcPr>
            <w:tcW w:w="1376" w:type="dxa"/>
            <w:vAlign w:val="center"/>
          </w:tcPr>
          <w:p w14:paraId="3394A305" w14:textId="77777777" w:rsidR="003E0AEB" w:rsidRPr="003E0AEB" w:rsidRDefault="003E0AEB" w:rsidP="00C74CCD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-CA"/>
              </w:rPr>
            </w:pPr>
            <w:r w:rsidRPr="003E0AEB">
              <w:rPr>
                <w:rFonts w:asciiTheme="majorBidi" w:hAnsiTheme="majorBidi" w:cstheme="majorBidi"/>
                <w:sz w:val="20"/>
                <w:szCs w:val="20"/>
                <w:lang w:val="en-CA"/>
              </w:rPr>
              <w:t>40.6</w:t>
            </w:r>
          </w:p>
        </w:tc>
      </w:tr>
    </w:tbl>
    <w:p w14:paraId="4C7E72B6" w14:textId="77777777" w:rsidR="003617C4" w:rsidRPr="00597928" w:rsidRDefault="003E0AEB" w:rsidP="003617C4">
      <w:pPr>
        <w:spacing w:after="80" w:line="240" w:lineRule="auto"/>
        <w:jc w:val="both"/>
        <w:rPr>
          <w:rFonts w:asciiTheme="majorBidi" w:eastAsia="Calibri" w:hAnsiTheme="majorBidi" w:cstheme="majorBidi"/>
          <w:sz w:val="20"/>
          <w:szCs w:val="20"/>
          <w:lang w:val="en-US"/>
        </w:rPr>
      </w:pPr>
      <w:r w:rsidRPr="003E0AE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As shown in Table 1, 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… 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>When you submit a manuscript</w:t>
      </w:r>
      <w:r w:rsidR="003617C4" w:rsidRPr="00F33F97">
        <w:rPr>
          <w:rFonts w:asciiTheme="majorBidi" w:eastAsia="Calibri" w:hAnsiTheme="majorBidi" w:cstheme="majorBidi"/>
          <w:sz w:val="20"/>
          <w:szCs w:val="20"/>
          <w:lang w:val="en-US"/>
        </w:rPr>
        <w:t xml:space="preserve">, the editor or editorial assistant 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>will send</w:t>
      </w:r>
      <w:r w:rsidR="003617C4" w:rsidRPr="00F33F97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>a</w:t>
      </w:r>
      <w:r w:rsidR="003617C4" w:rsidRPr="00F33F97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confirmation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email</w:t>
      </w:r>
      <w:r w:rsidR="003617C4" w:rsidRPr="00F33F97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to the submission’s author within one to three working days. If you fail to receive this confirmation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email</w:t>
      </w:r>
      <w:r w:rsidR="003617C4" w:rsidRPr="00F33F97">
        <w:rPr>
          <w:rFonts w:asciiTheme="majorBidi" w:eastAsia="Calibri" w:hAnsiTheme="majorBidi" w:cstheme="majorBidi"/>
          <w:sz w:val="20"/>
          <w:szCs w:val="20"/>
          <w:lang w:val="en-US"/>
        </w:rPr>
        <w:t xml:space="preserve">, please check your </w:t>
      </w:r>
      <w:r w:rsidR="003617C4">
        <w:rPr>
          <w:rFonts w:asciiTheme="majorBidi" w:eastAsia="Calibri" w:hAnsiTheme="majorBidi" w:cstheme="majorBidi"/>
          <w:sz w:val="20"/>
          <w:szCs w:val="20"/>
          <w:lang w:val="en-US"/>
        </w:rPr>
        <w:t>spam</w:t>
      </w:r>
      <w:r w:rsidR="003617C4" w:rsidRPr="00F33F97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email box or contact the editorial assistant.</w:t>
      </w:r>
    </w:p>
    <w:p w14:paraId="2A03962C" w14:textId="77777777" w:rsidR="00EC63B8" w:rsidRDefault="00EC63B8" w:rsidP="000D696E">
      <w:pPr>
        <w:spacing w:after="80" w:line="240" w:lineRule="auto"/>
        <w:jc w:val="center"/>
        <w:rPr>
          <w:rFonts w:asciiTheme="majorBidi" w:eastAsia="Calibri" w:hAnsiTheme="majorBidi" w:cstheme="majorBidi"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14F2FA59" wp14:editId="487AF343">
            <wp:extent cx="5305425" cy="1913890"/>
            <wp:effectExtent l="19050" t="19050" r="28575" b="1016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27261" cy="192176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A4D898" w14:textId="77777777" w:rsidR="007511F8" w:rsidRPr="00D9064D" w:rsidRDefault="00675BE4" w:rsidP="00FC08B3">
      <w:pPr>
        <w:spacing w:after="80"/>
        <w:rPr>
          <w:rFonts w:asciiTheme="majorBidi" w:hAnsiTheme="majorBidi" w:cstheme="majorBidi"/>
          <w:sz w:val="20"/>
          <w:szCs w:val="20"/>
          <w:lang w:val="en-CA"/>
        </w:rPr>
      </w:pPr>
      <w:r w:rsidRPr="00675BE4">
        <w:rPr>
          <w:rFonts w:asciiTheme="majorBidi" w:hAnsiTheme="majorBidi" w:cstheme="majorBidi"/>
          <w:i/>
          <w:iCs/>
          <w:sz w:val="20"/>
          <w:szCs w:val="20"/>
          <w:lang w:val="en-CA"/>
        </w:rPr>
        <w:t>Figure</w:t>
      </w:r>
      <w:r w:rsidR="0028060C" w:rsidRPr="00675BE4">
        <w:rPr>
          <w:rFonts w:asciiTheme="majorBidi" w:hAnsiTheme="majorBidi" w:cstheme="majorBidi"/>
          <w:i/>
          <w:iCs/>
          <w:sz w:val="20"/>
          <w:szCs w:val="20"/>
          <w:lang w:val="en-CA"/>
        </w:rPr>
        <w:t xml:space="preserve"> 1.</w:t>
      </w:r>
      <w:r w:rsidR="0028060C" w:rsidRPr="0028060C">
        <w:rPr>
          <w:rFonts w:asciiTheme="majorBidi" w:hAnsiTheme="majorBidi" w:cstheme="majorBidi"/>
          <w:sz w:val="20"/>
          <w:szCs w:val="20"/>
          <w:lang w:val="en-CA"/>
        </w:rPr>
        <w:t xml:space="preserve"> </w:t>
      </w:r>
      <w:r w:rsidR="00FC08B3">
        <w:rPr>
          <w:rFonts w:asciiTheme="majorBidi" w:hAnsiTheme="majorBidi" w:cstheme="majorBidi"/>
          <w:sz w:val="20"/>
          <w:szCs w:val="20"/>
          <w:lang w:val="en-CA"/>
        </w:rPr>
        <w:t>G</w:t>
      </w:r>
      <w:r w:rsidR="0028060C" w:rsidRPr="0028060C">
        <w:rPr>
          <w:rFonts w:asciiTheme="majorBidi" w:hAnsiTheme="majorBidi" w:cstheme="majorBidi"/>
          <w:sz w:val="20"/>
          <w:szCs w:val="20"/>
          <w:lang w:val="en-CA"/>
        </w:rPr>
        <w:t>ame</w:t>
      </w:r>
      <w:r w:rsidR="0028060C">
        <w:rPr>
          <w:rFonts w:asciiTheme="majorBidi" w:hAnsiTheme="majorBidi" w:cstheme="majorBidi"/>
          <w:sz w:val="20"/>
          <w:szCs w:val="20"/>
          <w:lang w:val="en-CA"/>
        </w:rPr>
        <w:t xml:space="preserve"> screenshots</w:t>
      </w:r>
    </w:p>
    <w:p w14:paraId="5D162B6A" w14:textId="77777777" w:rsidR="002142E0" w:rsidRPr="002142E0" w:rsidRDefault="002142E0" w:rsidP="002142E0">
      <w:pPr>
        <w:spacing w:after="80" w:line="240" w:lineRule="auto"/>
        <w:jc w:val="both"/>
        <w:rPr>
          <w:rFonts w:asciiTheme="majorBidi" w:eastAsia="Calibri" w:hAnsiTheme="majorBidi" w:cstheme="majorBidi"/>
          <w:b/>
          <w:bCs/>
          <w:sz w:val="20"/>
          <w:szCs w:val="20"/>
          <w:lang w:val="en-CA"/>
        </w:rPr>
      </w:pPr>
      <w:r w:rsidRPr="003E0AEB">
        <w:rPr>
          <w:rFonts w:asciiTheme="majorBidi" w:eastAsia="Calibri" w:hAnsiTheme="majorBidi" w:cstheme="majorBidi"/>
          <w:sz w:val="20"/>
          <w:szCs w:val="20"/>
          <w:lang w:val="en-US"/>
        </w:rPr>
        <w:lastRenderedPageBreak/>
        <w:t>As shown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 in Figure 1, …</w:t>
      </w:r>
    </w:p>
    <w:p w14:paraId="368C6670" w14:textId="77777777" w:rsidR="007511F8" w:rsidRPr="00D9064D" w:rsidRDefault="007511F8" w:rsidP="00D9064D">
      <w:pPr>
        <w:spacing w:after="80" w:line="240" w:lineRule="auto"/>
        <w:jc w:val="both"/>
        <w:rPr>
          <w:rFonts w:asciiTheme="majorBidi" w:eastAsia="Calibri" w:hAnsiTheme="majorBidi" w:cstheme="majorBidi"/>
          <w:b/>
          <w:sz w:val="20"/>
          <w:szCs w:val="20"/>
          <w:lang w:val="en-US"/>
        </w:rPr>
      </w:pPr>
      <w:r w:rsidRPr="00597928">
        <w:rPr>
          <w:rFonts w:asciiTheme="majorBidi" w:eastAsia="Calibri" w:hAnsiTheme="majorBidi" w:cstheme="majorBidi"/>
          <w:b/>
          <w:bCs/>
          <w:sz w:val="20"/>
          <w:szCs w:val="20"/>
          <w:lang w:val="en-US"/>
        </w:rPr>
        <w:t>METHOD</w:t>
      </w:r>
      <w:r w:rsidR="00D9064D">
        <w:rPr>
          <w:rFonts w:asciiTheme="majorBidi" w:eastAsia="Calibri" w:hAnsiTheme="majorBidi" w:cstheme="majorBidi"/>
          <w:b/>
          <w:bCs/>
          <w:sz w:val="20"/>
          <w:szCs w:val="20"/>
          <w:lang w:val="en-US"/>
        </w:rPr>
        <w:t xml:space="preserve"> </w:t>
      </w:r>
      <w:r w:rsidR="00D9064D" w:rsidRPr="0047556B">
        <w:rPr>
          <w:rFonts w:asciiTheme="majorBidi" w:eastAsia="Calibri" w:hAnsiTheme="majorBidi" w:cstheme="majorBidi"/>
          <w:b/>
          <w:sz w:val="20"/>
          <w:szCs w:val="20"/>
          <w:lang w:val="en-US"/>
        </w:rPr>
        <w:t>(</w:t>
      </w:r>
      <w:r w:rsidR="00D9064D">
        <w:rPr>
          <w:rFonts w:asciiTheme="majorBidi" w:eastAsia="Calibri" w:hAnsiTheme="majorBidi" w:cstheme="majorBidi"/>
          <w:b/>
          <w:sz w:val="20"/>
          <w:szCs w:val="20"/>
          <w:lang w:val="en-US"/>
        </w:rPr>
        <w:t xml:space="preserve">UPPERCASE, </w:t>
      </w:r>
      <w:r w:rsidR="00D9064D" w:rsidRPr="0047556B">
        <w:rPr>
          <w:rFonts w:asciiTheme="majorBidi" w:eastAsia="Calibri" w:hAnsiTheme="majorBidi" w:cstheme="majorBidi"/>
          <w:b/>
          <w:sz w:val="20"/>
          <w:szCs w:val="20"/>
          <w:lang w:val="en-US"/>
        </w:rPr>
        <w:t>10 pt.)</w:t>
      </w:r>
    </w:p>
    <w:p w14:paraId="4342A3DD" w14:textId="77777777" w:rsidR="003617C4" w:rsidRPr="00597928" w:rsidRDefault="003617C4" w:rsidP="003617C4">
      <w:pPr>
        <w:spacing w:after="80" w:line="240" w:lineRule="auto"/>
        <w:jc w:val="both"/>
        <w:rPr>
          <w:rFonts w:asciiTheme="majorBidi" w:eastAsia="Calibri" w:hAnsiTheme="majorBidi" w:cstheme="majorBidi"/>
          <w:sz w:val="20"/>
          <w:szCs w:val="20"/>
          <w:lang w:val="en-US"/>
        </w:rPr>
      </w:pPr>
      <w:r w:rsidRPr="0021288B">
        <w:rPr>
          <w:rFonts w:asciiTheme="majorBidi" w:eastAsia="Calibri" w:hAnsiTheme="majorBidi" w:cstheme="majorBidi"/>
          <w:sz w:val="20"/>
          <w:szCs w:val="20"/>
          <w:lang w:val="en-US"/>
        </w:rPr>
        <w:t>We use a doub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>le-blind system for peer review.</w:t>
      </w:r>
      <w:r w:rsidRPr="0021288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>B</w:t>
      </w:r>
      <w:r w:rsidRPr="0021288B">
        <w:rPr>
          <w:rFonts w:asciiTheme="majorBidi" w:eastAsia="Calibri" w:hAnsiTheme="majorBidi" w:cstheme="majorBidi"/>
          <w:sz w:val="20"/>
          <w:szCs w:val="20"/>
          <w:lang w:val="en-US"/>
        </w:rPr>
        <w:t>oth reviewers’ and authors’ identities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 will</w:t>
      </w:r>
      <w:r w:rsidRPr="0021288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remain anonymous.</w:t>
      </w:r>
      <w:r w:rsidRP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</w:t>
      </w:r>
      <w:r w:rsidRPr="0021288B">
        <w:rPr>
          <w:rFonts w:asciiTheme="majorBidi" w:eastAsia="Calibri" w:hAnsiTheme="majorBidi" w:cstheme="majorBidi"/>
          <w:sz w:val="20"/>
          <w:szCs w:val="20"/>
          <w:lang w:val="en-US"/>
        </w:rPr>
        <w:t>We use a doub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>le-blind system for peer review.</w:t>
      </w:r>
      <w:r w:rsidRPr="0021288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>B</w:t>
      </w:r>
      <w:r w:rsidRPr="0021288B">
        <w:rPr>
          <w:rFonts w:asciiTheme="majorBidi" w:eastAsia="Calibri" w:hAnsiTheme="majorBidi" w:cstheme="majorBidi"/>
          <w:sz w:val="20"/>
          <w:szCs w:val="20"/>
          <w:lang w:val="en-US"/>
        </w:rPr>
        <w:t>oth reviewers’ and authors’ identities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 will</w:t>
      </w:r>
      <w:r w:rsidRPr="0021288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remain anonymous.</w:t>
      </w:r>
      <w:r w:rsidRP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</w:t>
      </w:r>
      <w:r w:rsidRPr="0021288B">
        <w:rPr>
          <w:rFonts w:asciiTheme="majorBidi" w:eastAsia="Calibri" w:hAnsiTheme="majorBidi" w:cstheme="majorBidi"/>
          <w:sz w:val="20"/>
          <w:szCs w:val="20"/>
          <w:lang w:val="en-US"/>
        </w:rPr>
        <w:t>We use a doub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>le-blind system for peer review.</w:t>
      </w:r>
      <w:r w:rsidRPr="0021288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>B</w:t>
      </w:r>
      <w:r w:rsidRPr="0021288B">
        <w:rPr>
          <w:rFonts w:asciiTheme="majorBidi" w:eastAsia="Calibri" w:hAnsiTheme="majorBidi" w:cstheme="majorBidi"/>
          <w:sz w:val="20"/>
          <w:szCs w:val="20"/>
          <w:lang w:val="en-US"/>
        </w:rPr>
        <w:t>oth reviewers’ and authors’ identities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 will</w:t>
      </w:r>
      <w:r w:rsidRPr="0021288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remain anonymous.</w:t>
      </w:r>
      <w:r w:rsidRP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</w:t>
      </w:r>
      <w:r w:rsidRPr="0021288B">
        <w:rPr>
          <w:rFonts w:asciiTheme="majorBidi" w:eastAsia="Calibri" w:hAnsiTheme="majorBidi" w:cstheme="majorBidi"/>
          <w:sz w:val="20"/>
          <w:szCs w:val="20"/>
          <w:lang w:val="en-US"/>
        </w:rPr>
        <w:t>We use a doub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>le-blind system for peer review.</w:t>
      </w:r>
      <w:r w:rsidRPr="0021288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>B</w:t>
      </w:r>
      <w:r w:rsidRPr="0021288B">
        <w:rPr>
          <w:rFonts w:asciiTheme="majorBidi" w:eastAsia="Calibri" w:hAnsiTheme="majorBidi" w:cstheme="majorBidi"/>
          <w:sz w:val="20"/>
          <w:szCs w:val="20"/>
          <w:lang w:val="en-US"/>
        </w:rPr>
        <w:t>oth reviewers’ and authors’ identities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 will</w:t>
      </w:r>
      <w:r w:rsidRPr="0021288B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remain anonymous. </w:t>
      </w:r>
    </w:p>
    <w:p w14:paraId="6E953292" w14:textId="77777777" w:rsidR="007511F8" w:rsidRPr="0021288B" w:rsidRDefault="007511F8" w:rsidP="0021288B">
      <w:pPr>
        <w:spacing w:after="80" w:line="240" w:lineRule="auto"/>
        <w:jc w:val="both"/>
        <w:rPr>
          <w:rFonts w:asciiTheme="majorBidi" w:eastAsia="Calibri" w:hAnsiTheme="majorBidi" w:cstheme="majorBidi"/>
          <w:b/>
          <w:sz w:val="20"/>
          <w:szCs w:val="20"/>
          <w:lang w:val="en-US"/>
        </w:rPr>
      </w:pPr>
      <w:r w:rsidRPr="00597928">
        <w:rPr>
          <w:rFonts w:asciiTheme="majorBidi" w:eastAsia="Calibri" w:hAnsiTheme="majorBidi" w:cstheme="majorBidi"/>
          <w:b/>
          <w:bCs/>
          <w:sz w:val="20"/>
          <w:szCs w:val="20"/>
          <w:lang w:val="en-US"/>
        </w:rPr>
        <w:t>FINDINGS</w:t>
      </w:r>
      <w:r w:rsidR="0021288B">
        <w:rPr>
          <w:rFonts w:asciiTheme="majorBidi" w:eastAsia="Calibri" w:hAnsiTheme="majorBidi" w:cstheme="majorBidi"/>
          <w:b/>
          <w:bCs/>
          <w:sz w:val="20"/>
          <w:szCs w:val="20"/>
          <w:lang w:val="en-US"/>
        </w:rPr>
        <w:t xml:space="preserve"> </w:t>
      </w:r>
      <w:r w:rsidR="0021288B" w:rsidRPr="0047556B">
        <w:rPr>
          <w:rFonts w:asciiTheme="majorBidi" w:eastAsia="Calibri" w:hAnsiTheme="majorBidi" w:cstheme="majorBidi"/>
          <w:b/>
          <w:sz w:val="20"/>
          <w:szCs w:val="20"/>
          <w:lang w:val="en-US"/>
        </w:rPr>
        <w:t>(</w:t>
      </w:r>
      <w:r w:rsidR="0021288B">
        <w:rPr>
          <w:rFonts w:asciiTheme="majorBidi" w:eastAsia="Calibri" w:hAnsiTheme="majorBidi" w:cstheme="majorBidi"/>
          <w:b/>
          <w:sz w:val="20"/>
          <w:szCs w:val="20"/>
          <w:lang w:val="en-US"/>
        </w:rPr>
        <w:t xml:space="preserve">UPPERCASE, </w:t>
      </w:r>
      <w:r w:rsidR="0021288B" w:rsidRPr="0047556B">
        <w:rPr>
          <w:rFonts w:asciiTheme="majorBidi" w:eastAsia="Calibri" w:hAnsiTheme="majorBidi" w:cstheme="majorBidi"/>
          <w:b/>
          <w:sz w:val="20"/>
          <w:szCs w:val="20"/>
          <w:lang w:val="en-US"/>
        </w:rPr>
        <w:t>10 pt.)</w:t>
      </w:r>
    </w:p>
    <w:p w14:paraId="6CC1EA58" w14:textId="77777777" w:rsidR="007511F8" w:rsidRPr="00597928" w:rsidRDefault="003617C4" w:rsidP="003617C4">
      <w:pPr>
        <w:spacing w:after="80" w:line="240" w:lineRule="auto"/>
        <w:jc w:val="both"/>
        <w:rPr>
          <w:rFonts w:asciiTheme="majorBidi" w:eastAsia="Calibri" w:hAnsiTheme="majorBidi" w:cstheme="majorBidi"/>
          <w:sz w:val="20"/>
          <w:szCs w:val="20"/>
          <w:lang w:val="en-US"/>
        </w:rPr>
      </w:pPr>
      <w:r w:rsidRP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The 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decision to accept or reject a manuscript </w:t>
      </w:r>
      <w:r w:rsidRP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is based on the 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>views</w:t>
      </w:r>
      <w:r w:rsidRP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of reviewers. The 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decision to accept or reject a manuscript </w:t>
      </w:r>
      <w:r w:rsidRP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is based on the 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>views</w:t>
      </w:r>
      <w:r w:rsidRP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of reviewers. The 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decision to accept or reject a manuscript </w:t>
      </w:r>
      <w:r w:rsidRP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is based on the 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>views</w:t>
      </w:r>
      <w:r w:rsidRP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of reviewers. The 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decision to accept or reject a manuscript </w:t>
      </w:r>
      <w:r w:rsidRP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is based on the 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>views</w:t>
      </w:r>
      <w:r w:rsidRP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of reviewers. The 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decision to accept or reject a manuscript </w:t>
      </w:r>
      <w:r w:rsidRP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is based on the 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>views</w:t>
      </w:r>
      <w:r w:rsidRP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of reviewers. The 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decision to accept or reject a manuscript </w:t>
      </w:r>
      <w:r w:rsidRP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is based on the 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>views</w:t>
      </w:r>
      <w:r w:rsidRP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 of reviewers.</w:t>
      </w:r>
    </w:p>
    <w:p w14:paraId="664833F8" w14:textId="77777777" w:rsidR="007511F8" w:rsidRPr="0021288B" w:rsidRDefault="007511F8" w:rsidP="0021288B">
      <w:pPr>
        <w:spacing w:after="80" w:line="240" w:lineRule="auto"/>
        <w:jc w:val="both"/>
        <w:rPr>
          <w:rFonts w:asciiTheme="majorBidi" w:eastAsia="Calibri" w:hAnsiTheme="majorBidi" w:cstheme="majorBidi"/>
          <w:b/>
          <w:sz w:val="20"/>
          <w:szCs w:val="20"/>
          <w:lang w:val="en-US"/>
        </w:rPr>
      </w:pPr>
      <w:r w:rsidRPr="00597928">
        <w:rPr>
          <w:rFonts w:asciiTheme="majorBidi" w:eastAsia="Calibri" w:hAnsiTheme="majorBidi" w:cstheme="majorBidi"/>
          <w:b/>
          <w:bCs/>
          <w:sz w:val="20"/>
          <w:szCs w:val="20"/>
          <w:lang w:val="en-US"/>
        </w:rPr>
        <w:t>CONCLUSION AND DISCUSSION</w:t>
      </w:r>
      <w:r w:rsidR="0021288B">
        <w:rPr>
          <w:rFonts w:asciiTheme="majorBidi" w:eastAsia="Calibri" w:hAnsiTheme="majorBidi" w:cstheme="majorBidi"/>
          <w:b/>
          <w:bCs/>
          <w:sz w:val="20"/>
          <w:szCs w:val="20"/>
          <w:lang w:val="en-US"/>
        </w:rPr>
        <w:t xml:space="preserve"> </w:t>
      </w:r>
      <w:r w:rsidR="0021288B" w:rsidRPr="0047556B">
        <w:rPr>
          <w:rFonts w:asciiTheme="majorBidi" w:eastAsia="Calibri" w:hAnsiTheme="majorBidi" w:cstheme="majorBidi"/>
          <w:b/>
          <w:sz w:val="20"/>
          <w:szCs w:val="20"/>
          <w:lang w:val="en-US"/>
        </w:rPr>
        <w:t>(</w:t>
      </w:r>
      <w:r w:rsidR="0021288B">
        <w:rPr>
          <w:rFonts w:asciiTheme="majorBidi" w:eastAsia="Calibri" w:hAnsiTheme="majorBidi" w:cstheme="majorBidi"/>
          <w:b/>
          <w:sz w:val="20"/>
          <w:szCs w:val="20"/>
          <w:lang w:val="en-US"/>
        </w:rPr>
        <w:t xml:space="preserve">UPPERCASE, </w:t>
      </w:r>
      <w:r w:rsidR="0021288B" w:rsidRPr="0047556B">
        <w:rPr>
          <w:rFonts w:asciiTheme="majorBidi" w:eastAsia="Calibri" w:hAnsiTheme="majorBidi" w:cstheme="majorBidi"/>
          <w:b/>
          <w:sz w:val="20"/>
          <w:szCs w:val="20"/>
          <w:lang w:val="en-US"/>
        </w:rPr>
        <w:t>10 pt.)</w:t>
      </w:r>
    </w:p>
    <w:p w14:paraId="7AFE90A0" w14:textId="77777777" w:rsidR="00C859C7" w:rsidRDefault="003617C4" w:rsidP="003617C4">
      <w:pPr>
        <w:spacing w:after="80" w:line="240" w:lineRule="auto"/>
        <w:jc w:val="both"/>
        <w:rPr>
          <w:rFonts w:asciiTheme="majorBidi" w:eastAsia="Calibri" w:hAnsiTheme="majorBidi" w:cstheme="majorBidi"/>
          <w:sz w:val="20"/>
          <w:szCs w:val="20"/>
          <w:lang w:val="en-US"/>
        </w:rPr>
      </w:pPr>
      <w:r w:rsidRP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The result of 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the </w:t>
      </w:r>
      <w:r w:rsidRPr="003617C4">
        <w:rPr>
          <w:rFonts w:asciiTheme="majorBidi" w:eastAsia="Calibri" w:hAnsiTheme="majorBidi" w:cstheme="majorBidi"/>
          <w:sz w:val="20"/>
          <w:szCs w:val="20"/>
          <w:lang w:val="en-US"/>
        </w:rPr>
        <w:t>review will be sent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 to the corresponding author</w:t>
      </w:r>
      <w:r w:rsidRP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. The result of 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the </w:t>
      </w:r>
      <w:r w:rsidRPr="003617C4">
        <w:rPr>
          <w:rFonts w:asciiTheme="majorBidi" w:eastAsia="Calibri" w:hAnsiTheme="majorBidi" w:cstheme="majorBidi"/>
          <w:sz w:val="20"/>
          <w:szCs w:val="20"/>
          <w:lang w:val="en-US"/>
        </w:rPr>
        <w:t>review will be sent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 to the corresponding author</w:t>
      </w:r>
      <w:r w:rsidRP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. The result of 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the </w:t>
      </w:r>
      <w:r w:rsidRPr="003617C4">
        <w:rPr>
          <w:rFonts w:asciiTheme="majorBidi" w:eastAsia="Calibri" w:hAnsiTheme="majorBidi" w:cstheme="majorBidi"/>
          <w:sz w:val="20"/>
          <w:szCs w:val="20"/>
          <w:lang w:val="en-US"/>
        </w:rPr>
        <w:t>review will be sent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 to the corresponding author</w:t>
      </w:r>
      <w:r w:rsidRP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. The result of 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the </w:t>
      </w:r>
      <w:r w:rsidRPr="003617C4">
        <w:rPr>
          <w:rFonts w:asciiTheme="majorBidi" w:eastAsia="Calibri" w:hAnsiTheme="majorBidi" w:cstheme="majorBidi"/>
          <w:sz w:val="20"/>
          <w:szCs w:val="20"/>
          <w:lang w:val="en-US"/>
        </w:rPr>
        <w:t>review will be sent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 to the corresponding author</w:t>
      </w:r>
      <w:r w:rsidRP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. The result of 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the </w:t>
      </w:r>
      <w:r w:rsidRPr="003617C4">
        <w:rPr>
          <w:rFonts w:asciiTheme="majorBidi" w:eastAsia="Calibri" w:hAnsiTheme="majorBidi" w:cstheme="majorBidi"/>
          <w:sz w:val="20"/>
          <w:szCs w:val="20"/>
          <w:lang w:val="en-US"/>
        </w:rPr>
        <w:t>review will be sent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 to the corresponding author</w:t>
      </w:r>
      <w:r w:rsidRPr="003617C4">
        <w:rPr>
          <w:rFonts w:asciiTheme="majorBidi" w:eastAsia="Calibri" w:hAnsiTheme="majorBidi" w:cstheme="majorBidi"/>
          <w:sz w:val="20"/>
          <w:szCs w:val="20"/>
          <w:lang w:val="en-US"/>
        </w:rPr>
        <w:t xml:space="preserve">. The result of 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the </w:t>
      </w:r>
      <w:r w:rsidRPr="003617C4">
        <w:rPr>
          <w:rFonts w:asciiTheme="majorBidi" w:eastAsia="Calibri" w:hAnsiTheme="majorBidi" w:cstheme="majorBidi"/>
          <w:sz w:val="20"/>
          <w:szCs w:val="20"/>
          <w:lang w:val="en-US"/>
        </w:rPr>
        <w:t>review will be sent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 to the corresponding author</w:t>
      </w:r>
      <w:r w:rsidRPr="003617C4">
        <w:rPr>
          <w:rFonts w:asciiTheme="majorBidi" w:eastAsia="Calibri" w:hAnsiTheme="majorBidi" w:cstheme="majorBidi"/>
          <w:sz w:val="20"/>
          <w:szCs w:val="20"/>
          <w:lang w:val="en-US"/>
        </w:rPr>
        <w:t>.</w:t>
      </w:r>
    </w:p>
    <w:p w14:paraId="12FF3AAC" w14:textId="77777777" w:rsidR="00EC63B8" w:rsidRPr="00EC63B8" w:rsidRDefault="00EC63B8" w:rsidP="00597928">
      <w:pPr>
        <w:spacing w:after="80" w:line="240" w:lineRule="auto"/>
        <w:jc w:val="both"/>
        <w:rPr>
          <w:rFonts w:asciiTheme="majorBidi" w:eastAsia="Calibri" w:hAnsiTheme="majorBidi" w:cstheme="majorBidi"/>
          <w:b/>
          <w:bCs/>
          <w:sz w:val="20"/>
          <w:szCs w:val="20"/>
          <w:lang w:val="en-US"/>
        </w:rPr>
      </w:pPr>
      <w:r w:rsidRPr="00EC63B8">
        <w:rPr>
          <w:rFonts w:asciiTheme="majorBidi" w:eastAsia="Calibri" w:hAnsiTheme="majorBidi" w:cstheme="majorBidi"/>
          <w:b/>
          <w:bCs/>
          <w:sz w:val="20"/>
          <w:szCs w:val="20"/>
          <w:lang w:val="en-US"/>
        </w:rPr>
        <w:t>REFERENCES</w:t>
      </w:r>
      <w:r w:rsidR="003617C4">
        <w:rPr>
          <w:rFonts w:asciiTheme="majorBidi" w:eastAsia="Calibri" w:hAnsiTheme="majorBidi" w:cstheme="majorBidi"/>
          <w:b/>
          <w:bCs/>
          <w:sz w:val="20"/>
          <w:szCs w:val="20"/>
          <w:lang w:val="en-US"/>
        </w:rPr>
        <w:t xml:space="preserve"> </w:t>
      </w:r>
      <w:r w:rsidR="003617C4" w:rsidRPr="0047556B">
        <w:rPr>
          <w:rFonts w:asciiTheme="majorBidi" w:eastAsia="Calibri" w:hAnsiTheme="majorBidi" w:cstheme="majorBidi"/>
          <w:b/>
          <w:sz w:val="20"/>
          <w:szCs w:val="20"/>
          <w:lang w:val="en-US"/>
        </w:rPr>
        <w:t>(</w:t>
      </w:r>
      <w:r w:rsidR="003617C4">
        <w:rPr>
          <w:rFonts w:asciiTheme="majorBidi" w:eastAsia="Calibri" w:hAnsiTheme="majorBidi" w:cstheme="majorBidi"/>
          <w:b/>
          <w:sz w:val="20"/>
          <w:szCs w:val="20"/>
          <w:lang w:val="en-US"/>
        </w:rPr>
        <w:t xml:space="preserve">UPPERCASE, </w:t>
      </w:r>
      <w:r w:rsidR="003617C4" w:rsidRPr="0047556B">
        <w:rPr>
          <w:rFonts w:asciiTheme="majorBidi" w:eastAsia="Calibri" w:hAnsiTheme="majorBidi" w:cstheme="majorBidi"/>
          <w:b/>
          <w:sz w:val="20"/>
          <w:szCs w:val="20"/>
          <w:lang w:val="en-US"/>
        </w:rPr>
        <w:t>10 pt.)</w:t>
      </w:r>
    </w:p>
    <w:p w14:paraId="647A855D" w14:textId="6CED5EAE" w:rsidR="00EC63B8" w:rsidRPr="00597928" w:rsidRDefault="00880F62" w:rsidP="001C4B24">
      <w:pPr>
        <w:spacing w:after="80" w:line="240" w:lineRule="auto"/>
        <w:ind w:left="567" w:hanging="567"/>
        <w:jc w:val="both"/>
        <w:rPr>
          <w:rFonts w:asciiTheme="majorBidi" w:eastAsia="Calibri" w:hAnsiTheme="majorBidi" w:cstheme="majorBidi"/>
          <w:sz w:val="20"/>
          <w:szCs w:val="20"/>
          <w:lang w:val="en-US"/>
        </w:rPr>
      </w:pP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APA </w:t>
      </w:r>
      <w:r w:rsidR="0056413B">
        <w:rPr>
          <w:rFonts w:asciiTheme="majorBidi" w:eastAsia="Calibri" w:hAnsiTheme="majorBidi" w:cstheme="majorBidi"/>
          <w:sz w:val="20"/>
          <w:szCs w:val="20"/>
          <w:lang w:val="en-US"/>
        </w:rPr>
        <w:t>7</w:t>
      </w:r>
      <w:r>
        <w:rPr>
          <w:rFonts w:asciiTheme="majorBidi" w:eastAsia="Calibri" w:hAnsiTheme="majorBidi" w:cstheme="majorBidi"/>
          <w:sz w:val="20"/>
          <w:szCs w:val="20"/>
          <w:lang w:val="en-US"/>
        </w:rPr>
        <w:t xml:space="preserve"> References.</w:t>
      </w:r>
    </w:p>
    <w:sectPr w:rsidR="00EC63B8" w:rsidRPr="00597928" w:rsidSect="006700D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6B355" w14:textId="77777777" w:rsidR="00B523A1" w:rsidRDefault="00B523A1" w:rsidP="007511F8">
      <w:pPr>
        <w:spacing w:after="0" w:line="240" w:lineRule="auto"/>
      </w:pPr>
      <w:r>
        <w:separator/>
      </w:r>
    </w:p>
  </w:endnote>
  <w:endnote w:type="continuationSeparator" w:id="0">
    <w:p w14:paraId="2D55BC73" w14:textId="77777777" w:rsidR="00B523A1" w:rsidRDefault="00B523A1" w:rsidP="0075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2855256"/>
      <w:docPartObj>
        <w:docPartGallery w:val="Page Numbers (Bottom of Page)"/>
        <w:docPartUnique/>
      </w:docPartObj>
    </w:sdtPr>
    <w:sdtContent>
      <w:p w14:paraId="533FE9D1" w14:textId="77777777" w:rsidR="00B3711B" w:rsidRDefault="00B3711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2E0">
          <w:rPr>
            <w:noProof/>
          </w:rPr>
          <w:t>2</w:t>
        </w:r>
        <w:r>
          <w:fldChar w:fldCharType="end"/>
        </w:r>
      </w:p>
    </w:sdtContent>
  </w:sdt>
  <w:p w14:paraId="55F9D782" w14:textId="77777777" w:rsidR="00B3711B" w:rsidRDefault="00B371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3711194"/>
      <w:docPartObj>
        <w:docPartGallery w:val="Page Numbers (Bottom of Page)"/>
        <w:docPartUnique/>
      </w:docPartObj>
    </w:sdtPr>
    <w:sdtContent>
      <w:p w14:paraId="2EFE8303" w14:textId="77777777" w:rsidR="00B3711B" w:rsidRDefault="00B3711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2E0">
          <w:rPr>
            <w:noProof/>
          </w:rPr>
          <w:t>1</w:t>
        </w:r>
        <w:r>
          <w:fldChar w:fldCharType="end"/>
        </w:r>
      </w:p>
    </w:sdtContent>
  </w:sdt>
  <w:p w14:paraId="74F4D4A4" w14:textId="77777777" w:rsidR="00B3711B" w:rsidRDefault="00B371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02C73" w14:textId="77777777" w:rsidR="00B523A1" w:rsidRDefault="00B523A1" w:rsidP="007511F8">
      <w:pPr>
        <w:spacing w:after="0" w:line="240" w:lineRule="auto"/>
      </w:pPr>
      <w:r>
        <w:separator/>
      </w:r>
    </w:p>
  </w:footnote>
  <w:footnote w:type="continuationSeparator" w:id="0">
    <w:p w14:paraId="29A31DEF" w14:textId="77777777" w:rsidR="00B523A1" w:rsidRDefault="00B523A1" w:rsidP="00751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D7C10" w14:textId="77777777" w:rsidR="00716B2D" w:rsidRPr="00207A6B" w:rsidRDefault="00207A6B" w:rsidP="001E5FF4"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rPr>
        <w:rFonts w:ascii="Times New Roman" w:eastAsia="SimSun" w:hAnsi="Times New Roman" w:cs="Times New Roman"/>
        <w:kern w:val="2"/>
        <w:sz w:val="18"/>
        <w:szCs w:val="18"/>
        <w:lang w:val="en-US" w:eastAsia="zh-CN"/>
      </w:rPr>
    </w:pPr>
    <w:r w:rsidRPr="00207A6B">
      <w:rPr>
        <w:rFonts w:ascii="Times New Roman" w:eastAsia="SimSun" w:hAnsi="Times New Roman" w:cs="Times New Roman"/>
        <w:kern w:val="2"/>
        <w:sz w:val="18"/>
        <w:szCs w:val="18"/>
        <w:lang w:val="en-US" w:eastAsia="zh-CN"/>
      </w:rPr>
      <w:tab/>
      <w:t>International Technology and Education Journal</w:t>
    </w:r>
    <w:r>
      <w:rPr>
        <w:rFonts w:ascii="Times New Roman" w:eastAsia="SimSun" w:hAnsi="Times New Roman" w:cs="Times New Roman"/>
        <w:kern w:val="2"/>
        <w:sz w:val="18"/>
        <w:szCs w:val="18"/>
        <w:lang w:val="en-US" w:eastAsia="zh-CN"/>
      </w:rPr>
      <w:t xml:space="preserve">  </w:t>
    </w:r>
    <w:r w:rsidRPr="00207A6B">
      <w:rPr>
        <w:rFonts w:ascii="Times New Roman" w:eastAsia="SimSun" w:hAnsi="Times New Roman" w:cs="Times New Roman" w:hint="eastAsia"/>
        <w:kern w:val="2"/>
        <w:sz w:val="18"/>
        <w:szCs w:val="18"/>
        <w:lang w:val="en-US" w:eastAsia="zh-CN"/>
      </w:rPr>
      <w:t xml:space="preserve">                                   </w:t>
    </w:r>
    <w:r>
      <w:rPr>
        <w:rFonts w:ascii="Times New Roman" w:eastAsia="SimSun" w:hAnsi="Times New Roman" w:cs="Times New Roman"/>
        <w:kern w:val="2"/>
        <w:sz w:val="18"/>
        <w:szCs w:val="18"/>
        <w:lang w:val="en-US" w:eastAsia="zh-CN"/>
      </w:rPr>
      <w:t xml:space="preserve">                                   </w:t>
    </w:r>
    <w:r w:rsidRPr="00207A6B">
      <w:rPr>
        <w:rFonts w:ascii="Times New Roman" w:eastAsia="SimSun" w:hAnsi="Times New Roman" w:cs="Times New Roman"/>
        <w:kern w:val="2"/>
        <w:sz w:val="18"/>
        <w:szCs w:val="18"/>
        <w:lang w:val="en-US" w:eastAsia="zh-CN"/>
      </w:rPr>
      <w:t xml:space="preserve">Vol. </w:t>
    </w:r>
    <w:r w:rsidR="001E5FF4">
      <w:rPr>
        <w:rFonts w:ascii="Times New Roman" w:eastAsia="SimSun" w:hAnsi="Times New Roman" w:cs="Times New Roman"/>
        <w:kern w:val="2"/>
        <w:sz w:val="18"/>
        <w:szCs w:val="18"/>
        <w:lang w:val="en-US" w:eastAsia="zh-CN"/>
      </w:rPr>
      <w:t>x</w:t>
    </w:r>
    <w:r w:rsidRPr="00207A6B">
      <w:rPr>
        <w:rFonts w:ascii="Times New Roman" w:eastAsia="SimSun" w:hAnsi="Times New Roman" w:cs="Times New Roman"/>
        <w:kern w:val="2"/>
        <w:sz w:val="18"/>
        <w:szCs w:val="18"/>
        <w:lang w:val="en-US" w:eastAsia="zh-CN"/>
      </w:rPr>
      <w:t>, No.</w:t>
    </w:r>
    <w:r w:rsidRPr="00207A6B">
      <w:rPr>
        <w:rFonts w:ascii="Times New Roman" w:eastAsia="SimSun" w:hAnsi="Times New Roman" w:cs="Times New Roman" w:hint="eastAsia"/>
        <w:kern w:val="2"/>
        <w:sz w:val="18"/>
        <w:szCs w:val="18"/>
        <w:lang w:val="en-US" w:eastAsia="zh-CN"/>
      </w:rPr>
      <w:t xml:space="preserve"> </w:t>
    </w:r>
    <w:r w:rsidR="001E5FF4">
      <w:rPr>
        <w:rFonts w:ascii="Times New Roman" w:eastAsia="SimSun" w:hAnsi="Times New Roman" w:cs="Times New Roman"/>
        <w:kern w:val="2"/>
        <w:sz w:val="18"/>
        <w:szCs w:val="18"/>
        <w:lang w:val="en-US" w:eastAsia="zh-CN"/>
      </w:rPr>
      <w:t>x</w:t>
    </w:r>
    <w:r w:rsidRPr="00207A6B">
      <w:rPr>
        <w:rFonts w:ascii="Times New Roman" w:eastAsia="SimSun" w:hAnsi="Times New Roman" w:cs="Times New Roman"/>
        <w:kern w:val="2"/>
        <w:sz w:val="18"/>
        <w:szCs w:val="18"/>
        <w:lang w:val="en-US" w:eastAsia="zh-CN"/>
      </w:rPr>
      <w:t>;</w:t>
    </w:r>
    <w:r w:rsidRPr="00207A6B">
      <w:rPr>
        <w:rFonts w:ascii="Times New Roman" w:eastAsia="SimSun" w:hAnsi="Times New Roman" w:cs="Times New Roman" w:hint="eastAsia"/>
        <w:kern w:val="2"/>
        <w:sz w:val="18"/>
        <w:szCs w:val="18"/>
        <w:lang w:val="en-US" w:eastAsia="zh-CN"/>
      </w:rPr>
      <w:t xml:space="preserve"> </w:t>
    </w:r>
    <w:r w:rsidR="001E5FF4">
      <w:rPr>
        <w:rFonts w:ascii="Times New Roman" w:eastAsia="SimSun" w:hAnsi="Times New Roman" w:cs="Times New Roman"/>
        <w:kern w:val="2"/>
        <w:sz w:val="18"/>
        <w:szCs w:val="18"/>
        <w:lang w:val="en-US" w:eastAsia="zh-CN"/>
      </w:rPr>
      <w:t>Month</w:t>
    </w:r>
    <w:r w:rsidRPr="00207A6B">
      <w:rPr>
        <w:rFonts w:ascii="Times New Roman" w:eastAsia="SimSun" w:hAnsi="Times New Roman" w:cs="Times New Roman" w:hint="eastAsia"/>
        <w:kern w:val="2"/>
        <w:sz w:val="18"/>
        <w:szCs w:val="18"/>
        <w:lang w:val="en-US" w:eastAsia="zh-CN"/>
      </w:rPr>
      <w:t xml:space="preserve"> </w:t>
    </w:r>
    <w:r w:rsidRPr="00207A6B">
      <w:rPr>
        <w:rFonts w:ascii="Times New Roman" w:eastAsia="SimSun" w:hAnsi="Times New Roman" w:cs="Times New Roman"/>
        <w:kern w:val="2"/>
        <w:sz w:val="18"/>
        <w:szCs w:val="18"/>
        <w:lang w:val="en-US" w:eastAsia="zh-CN"/>
      </w:rPr>
      <w:t>201</w:t>
    </w:r>
    <w:r w:rsidR="00964E2C">
      <w:rPr>
        <w:rFonts w:ascii="Times New Roman" w:eastAsia="SimSun" w:hAnsi="Times New Roman" w:cs="Times New Roman"/>
        <w:kern w:val="2"/>
        <w:sz w:val="18"/>
        <w:szCs w:val="18"/>
        <w:lang w:val="en-US" w:eastAsia="zh-CN"/>
      </w:rPr>
      <w:t>7</w:t>
    </w:r>
    <w:r w:rsidR="00716B2D" w:rsidRPr="00716B2D">
      <w:rPr>
        <w:rFonts w:asciiTheme="majorBidi" w:hAnsiTheme="majorBidi" w:cstheme="majorBidi"/>
        <w:sz w:val="18"/>
        <w:szCs w:val="18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764ED" w14:textId="77777777" w:rsidR="006700D5" w:rsidRPr="00716B2D" w:rsidRDefault="003E7D05" w:rsidP="006700D5">
    <w:pPr>
      <w:pStyle w:val="stBilgi"/>
      <w:jc w:val="right"/>
      <w:rPr>
        <w:rFonts w:asciiTheme="majorBidi" w:hAnsiTheme="majorBidi" w:cstheme="majorBidi"/>
        <w:color w:val="000000" w:themeColor="text1"/>
        <w:sz w:val="18"/>
        <w:szCs w:val="18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6775B3" wp14:editId="7D1B3A60">
          <wp:simplePos x="0" y="0"/>
          <wp:positionH relativeFrom="margin">
            <wp:align>left</wp:align>
          </wp:positionH>
          <wp:positionV relativeFrom="paragraph">
            <wp:posOffset>-173355</wp:posOffset>
          </wp:positionV>
          <wp:extent cx="1066800" cy="561975"/>
          <wp:effectExtent l="0" t="0" r="0" b="9525"/>
          <wp:wrapNone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00D5" w:rsidRPr="00716B2D">
      <w:rPr>
        <w:rFonts w:asciiTheme="majorBidi" w:hAnsiTheme="majorBidi" w:cstheme="majorBidi"/>
        <w:color w:val="000000" w:themeColor="text1"/>
        <w:sz w:val="18"/>
        <w:szCs w:val="18"/>
        <w:lang w:val="en-US"/>
      </w:rPr>
      <w:t>International Technology and Education Journal</w:t>
    </w:r>
  </w:p>
  <w:p w14:paraId="1987A1C1" w14:textId="77777777" w:rsidR="006700D5" w:rsidRPr="00716B2D" w:rsidRDefault="0047556B" w:rsidP="0047556B">
    <w:pPr>
      <w:pStyle w:val="stBilgi"/>
      <w:wordWrap w:val="0"/>
      <w:jc w:val="right"/>
      <w:rPr>
        <w:rFonts w:asciiTheme="majorBidi" w:hAnsiTheme="majorBidi" w:cstheme="majorBidi"/>
        <w:color w:val="000000" w:themeColor="text1"/>
        <w:sz w:val="18"/>
        <w:szCs w:val="18"/>
        <w:lang w:val="en-US"/>
      </w:rPr>
    </w:pPr>
    <w:r>
      <w:rPr>
        <w:rFonts w:asciiTheme="majorBidi" w:hAnsiTheme="majorBidi" w:cstheme="majorBidi"/>
        <w:color w:val="000000" w:themeColor="text1"/>
        <w:sz w:val="18"/>
        <w:szCs w:val="18"/>
        <w:lang w:val="en-US"/>
      </w:rPr>
      <w:t>Vol. x</w:t>
    </w:r>
    <w:r w:rsidR="006700D5" w:rsidRPr="00716B2D">
      <w:rPr>
        <w:rFonts w:asciiTheme="majorBidi" w:hAnsiTheme="majorBidi" w:cstheme="majorBidi"/>
        <w:color w:val="000000" w:themeColor="text1"/>
        <w:sz w:val="18"/>
        <w:szCs w:val="18"/>
        <w:lang w:val="en-US"/>
      </w:rPr>
      <w:t xml:space="preserve"> No. </w:t>
    </w:r>
    <w:r>
      <w:rPr>
        <w:rFonts w:asciiTheme="majorBidi" w:hAnsiTheme="majorBidi" w:cstheme="majorBidi"/>
        <w:color w:val="000000" w:themeColor="text1"/>
        <w:sz w:val="18"/>
        <w:szCs w:val="18"/>
        <w:lang w:val="en-US"/>
      </w:rPr>
      <w:t>x</w:t>
    </w:r>
    <w:r w:rsidR="006700D5" w:rsidRPr="00716B2D">
      <w:rPr>
        <w:rFonts w:asciiTheme="majorBidi" w:hAnsiTheme="majorBidi" w:cstheme="majorBidi"/>
        <w:color w:val="000000" w:themeColor="text1"/>
        <w:sz w:val="18"/>
        <w:szCs w:val="18"/>
        <w:lang w:val="en-US"/>
      </w:rPr>
      <w:t xml:space="preserve">; </w:t>
    </w:r>
    <w:r>
      <w:rPr>
        <w:rFonts w:asciiTheme="majorBidi" w:hAnsiTheme="majorBidi" w:cstheme="majorBidi"/>
        <w:color w:val="000000" w:themeColor="text1"/>
        <w:sz w:val="18"/>
        <w:szCs w:val="18"/>
        <w:lang w:val="en-US"/>
      </w:rPr>
      <w:t>Month</w:t>
    </w:r>
    <w:r w:rsidR="006700D5" w:rsidRPr="00716B2D">
      <w:rPr>
        <w:rFonts w:asciiTheme="majorBidi" w:hAnsiTheme="majorBidi" w:cstheme="majorBidi"/>
        <w:color w:val="000000" w:themeColor="text1"/>
        <w:sz w:val="18"/>
        <w:szCs w:val="18"/>
        <w:lang w:val="en-US"/>
      </w:rPr>
      <w:t xml:space="preserve"> 201</w:t>
    </w:r>
    <w:r w:rsidR="00964E2C">
      <w:rPr>
        <w:rFonts w:asciiTheme="majorBidi" w:hAnsiTheme="majorBidi" w:cstheme="majorBidi"/>
        <w:color w:val="000000" w:themeColor="text1"/>
        <w:sz w:val="18"/>
        <w:szCs w:val="18"/>
        <w:lang w:val="en-US"/>
      </w:rPr>
      <w:t>7</w:t>
    </w:r>
  </w:p>
  <w:p w14:paraId="035531CC" w14:textId="77777777" w:rsidR="006700D5" w:rsidRPr="00716B2D" w:rsidRDefault="006700D5" w:rsidP="006700D5">
    <w:pPr>
      <w:pStyle w:val="stBilgi"/>
      <w:wordWrap w:val="0"/>
      <w:jc w:val="right"/>
      <w:rPr>
        <w:rFonts w:asciiTheme="majorBidi" w:hAnsiTheme="majorBidi" w:cstheme="majorBidi"/>
        <w:color w:val="000000" w:themeColor="text1"/>
        <w:sz w:val="18"/>
        <w:szCs w:val="18"/>
        <w:lang w:val="en-US"/>
      </w:rPr>
    </w:pPr>
    <w:r w:rsidRPr="00716B2D">
      <w:rPr>
        <w:rFonts w:asciiTheme="majorBidi" w:hAnsiTheme="majorBidi" w:cstheme="majorBidi"/>
        <w:color w:val="000000" w:themeColor="text1"/>
        <w:sz w:val="18"/>
        <w:szCs w:val="18"/>
        <w:lang w:val="en-US"/>
      </w:rPr>
      <w:t>ISSN: 2602-2885</w:t>
    </w:r>
  </w:p>
  <w:p w14:paraId="766419ED" w14:textId="77777777" w:rsidR="006700D5" w:rsidRPr="006700D5" w:rsidRDefault="006700D5" w:rsidP="006700D5">
    <w:pPr>
      <w:pStyle w:val="stBilgi"/>
      <w:jc w:val="right"/>
      <w:rPr>
        <w:rFonts w:asciiTheme="majorBidi" w:hAnsiTheme="majorBidi" w:cstheme="majorBidi"/>
        <w:sz w:val="18"/>
        <w:szCs w:val="18"/>
        <w:lang w:val="en-US"/>
      </w:rPr>
    </w:pPr>
    <w:r w:rsidRPr="00716B2D">
      <w:rPr>
        <w:rFonts w:asciiTheme="majorBidi" w:hAnsiTheme="majorBidi" w:cstheme="majorBidi"/>
        <w:color w:val="000000" w:themeColor="text1"/>
        <w:sz w:val="18"/>
        <w:szCs w:val="18"/>
        <w:lang w:val="en-US"/>
      </w:rPr>
      <w:t xml:space="preserve">URL: </w:t>
    </w:r>
    <w:hyperlink r:id="rId2" w:history="1">
      <w:r w:rsidRPr="00716B2D">
        <w:rPr>
          <w:rStyle w:val="Kpr"/>
          <w:rFonts w:asciiTheme="majorBidi" w:hAnsiTheme="majorBidi" w:cstheme="majorBidi"/>
          <w:color w:val="000000" w:themeColor="text1"/>
          <w:sz w:val="18"/>
          <w:szCs w:val="18"/>
          <w:lang w:val="en-US"/>
        </w:rPr>
        <w:t>http://itejournal.com/</w:t>
      </w:r>
    </w:hyperlink>
    <w:r w:rsidRPr="00716B2D">
      <w:rPr>
        <w:rFonts w:asciiTheme="majorBidi" w:hAnsiTheme="majorBidi" w:cstheme="majorBidi"/>
        <w:sz w:val="18"/>
        <w:szCs w:val="18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2AB7"/>
    <w:multiLevelType w:val="hybridMultilevel"/>
    <w:tmpl w:val="0B503B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37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08D"/>
    <w:rsid w:val="00007C0A"/>
    <w:rsid w:val="00026CC7"/>
    <w:rsid w:val="00035091"/>
    <w:rsid w:val="0005594E"/>
    <w:rsid w:val="00055A50"/>
    <w:rsid w:val="0006330E"/>
    <w:rsid w:val="00063FD5"/>
    <w:rsid w:val="000C64E3"/>
    <w:rsid w:val="000D696E"/>
    <w:rsid w:val="00120883"/>
    <w:rsid w:val="001468D8"/>
    <w:rsid w:val="00147D52"/>
    <w:rsid w:val="001611EA"/>
    <w:rsid w:val="0016388B"/>
    <w:rsid w:val="001746DB"/>
    <w:rsid w:val="00191930"/>
    <w:rsid w:val="00191A70"/>
    <w:rsid w:val="001A3196"/>
    <w:rsid w:val="001A526C"/>
    <w:rsid w:val="001B01CF"/>
    <w:rsid w:val="001C4B24"/>
    <w:rsid w:val="001C5AB2"/>
    <w:rsid w:val="001C7284"/>
    <w:rsid w:val="001D538A"/>
    <w:rsid w:val="001D76E2"/>
    <w:rsid w:val="001E5FF4"/>
    <w:rsid w:val="00207A6B"/>
    <w:rsid w:val="00211952"/>
    <w:rsid w:val="0021288B"/>
    <w:rsid w:val="002142E0"/>
    <w:rsid w:val="002307CE"/>
    <w:rsid w:val="00231482"/>
    <w:rsid w:val="002341D3"/>
    <w:rsid w:val="00244D56"/>
    <w:rsid w:val="00246A65"/>
    <w:rsid w:val="00247CDC"/>
    <w:rsid w:val="00252598"/>
    <w:rsid w:val="002611A5"/>
    <w:rsid w:val="002629FC"/>
    <w:rsid w:val="0028060C"/>
    <w:rsid w:val="00291E98"/>
    <w:rsid w:val="002D523C"/>
    <w:rsid w:val="002E2A60"/>
    <w:rsid w:val="00310AA0"/>
    <w:rsid w:val="00334F4F"/>
    <w:rsid w:val="003358F7"/>
    <w:rsid w:val="003378EC"/>
    <w:rsid w:val="003567BE"/>
    <w:rsid w:val="003617C4"/>
    <w:rsid w:val="00366A39"/>
    <w:rsid w:val="003808D2"/>
    <w:rsid w:val="0038211B"/>
    <w:rsid w:val="00386218"/>
    <w:rsid w:val="00386C09"/>
    <w:rsid w:val="00390397"/>
    <w:rsid w:val="003A708D"/>
    <w:rsid w:val="003C5D92"/>
    <w:rsid w:val="003D6BE6"/>
    <w:rsid w:val="003E0AEB"/>
    <w:rsid w:val="003E2627"/>
    <w:rsid w:val="003E7D05"/>
    <w:rsid w:val="0040478D"/>
    <w:rsid w:val="00441F4F"/>
    <w:rsid w:val="004613D4"/>
    <w:rsid w:val="00466024"/>
    <w:rsid w:val="0047556B"/>
    <w:rsid w:val="00492B54"/>
    <w:rsid w:val="004B2D01"/>
    <w:rsid w:val="004B3F77"/>
    <w:rsid w:val="004D262B"/>
    <w:rsid w:val="004F2503"/>
    <w:rsid w:val="00502733"/>
    <w:rsid w:val="00513BBB"/>
    <w:rsid w:val="00514E04"/>
    <w:rsid w:val="00523F14"/>
    <w:rsid w:val="0054701A"/>
    <w:rsid w:val="0056413B"/>
    <w:rsid w:val="00571A96"/>
    <w:rsid w:val="00576A04"/>
    <w:rsid w:val="0058759E"/>
    <w:rsid w:val="00590928"/>
    <w:rsid w:val="00597928"/>
    <w:rsid w:val="005A7F84"/>
    <w:rsid w:val="005E7CA7"/>
    <w:rsid w:val="005F1A8E"/>
    <w:rsid w:val="0060528B"/>
    <w:rsid w:val="00607EBC"/>
    <w:rsid w:val="00625A62"/>
    <w:rsid w:val="00625E6E"/>
    <w:rsid w:val="006348EC"/>
    <w:rsid w:val="00635A7C"/>
    <w:rsid w:val="006546A3"/>
    <w:rsid w:val="00661516"/>
    <w:rsid w:val="00665A0E"/>
    <w:rsid w:val="006700D5"/>
    <w:rsid w:val="00675BE4"/>
    <w:rsid w:val="00676F33"/>
    <w:rsid w:val="006A2C8C"/>
    <w:rsid w:val="006C4F57"/>
    <w:rsid w:val="006E4829"/>
    <w:rsid w:val="006E72AE"/>
    <w:rsid w:val="006F6B88"/>
    <w:rsid w:val="007021B1"/>
    <w:rsid w:val="00716B2D"/>
    <w:rsid w:val="007413AD"/>
    <w:rsid w:val="007511F8"/>
    <w:rsid w:val="00777CB1"/>
    <w:rsid w:val="00782698"/>
    <w:rsid w:val="00791632"/>
    <w:rsid w:val="007B40A7"/>
    <w:rsid w:val="007D1083"/>
    <w:rsid w:val="007D4DDD"/>
    <w:rsid w:val="007E2192"/>
    <w:rsid w:val="008111EF"/>
    <w:rsid w:val="00827DCF"/>
    <w:rsid w:val="00831F19"/>
    <w:rsid w:val="00836885"/>
    <w:rsid w:val="00837FD5"/>
    <w:rsid w:val="00865723"/>
    <w:rsid w:val="00880F62"/>
    <w:rsid w:val="008A3A0C"/>
    <w:rsid w:val="008A4DBA"/>
    <w:rsid w:val="008A720D"/>
    <w:rsid w:val="008B7385"/>
    <w:rsid w:val="008C6B6E"/>
    <w:rsid w:val="008D2BA4"/>
    <w:rsid w:val="008D6808"/>
    <w:rsid w:val="008E1363"/>
    <w:rsid w:val="008F05C1"/>
    <w:rsid w:val="00903E24"/>
    <w:rsid w:val="009146A3"/>
    <w:rsid w:val="00923CCA"/>
    <w:rsid w:val="009504C1"/>
    <w:rsid w:val="00964E2C"/>
    <w:rsid w:val="00975B27"/>
    <w:rsid w:val="009A01E7"/>
    <w:rsid w:val="009A27AE"/>
    <w:rsid w:val="009B2FBB"/>
    <w:rsid w:val="009C709C"/>
    <w:rsid w:val="009F0C25"/>
    <w:rsid w:val="00A235F3"/>
    <w:rsid w:val="00A243A6"/>
    <w:rsid w:val="00A66D6B"/>
    <w:rsid w:val="00A719E0"/>
    <w:rsid w:val="00A83A72"/>
    <w:rsid w:val="00AC0FFD"/>
    <w:rsid w:val="00AC5C8C"/>
    <w:rsid w:val="00AD380F"/>
    <w:rsid w:val="00AE4ECC"/>
    <w:rsid w:val="00AF5E1B"/>
    <w:rsid w:val="00AF6E7C"/>
    <w:rsid w:val="00AF72D0"/>
    <w:rsid w:val="00B03CC3"/>
    <w:rsid w:val="00B26532"/>
    <w:rsid w:val="00B3711B"/>
    <w:rsid w:val="00B409A4"/>
    <w:rsid w:val="00B523A1"/>
    <w:rsid w:val="00B569AE"/>
    <w:rsid w:val="00B609CA"/>
    <w:rsid w:val="00B6257D"/>
    <w:rsid w:val="00B630CD"/>
    <w:rsid w:val="00B70541"/>
    <w:rsid w:val="00B708BD"/>
    <w:rsid w:val="00B83C7F"/>
    <w:rsid w:val="00B93CBA"/>
    <w:rsid w:val="00BC1CBE"/>
    <w:rsid w:val="00BC3359"/>
    <w:rsid w:val="00BC6128"/>
    <w:rsid w:val="00BE1B60"/>
    <w:rsid w:val="00BF4F92"/>
    <w:rsid w:val="00C0575E"/>
    <w:rsid w:val="00C4120B"/>
    <w:rsid w:val="00C660BD"/>
    <w:rsid w:val="00C702E8"/>
    <w:rsid w:val="00C74CCD"/>
    <w:rsid w:val="00C859C7"/>
    <w:rsid w:val="00CB5DDC"/>
    <w:rsid w:val="00CB62BE"/>
    <w:rsid w:val="00CD33AB"/>
    <w:rsid w:val="00D13305"/>
    <w:rsid w:val="00D31851"/>
    <w:rsid w:val="00D56091"/>
    <w:rsid w:val="00D57F4A"/>
    <w:rsid w:val="00D6393F"/>
    <w:rsid w:val="00D63969"/>
    <w:rsid w:val="00D90224"/>
    <w:rsid w:val="00D90626"/>
    <w:rsid w:val="00D9064D"/>
    <w:rsid w:val="00D9480F"/>
    <w:rsid w:val="00DA7133"/>
    <w:rsid w:val="00DB1DBD"/>
    <w:rsid w:val="00DE2A53"/>
    <w:rsid w:val="00E13641"/>
    <w:rsid w:val="00E14528"/>
    <w:rsid w:val="00E16779"/>
    <w:rsid w:val="00E20E66"/>
    <w:rsid w:val="00E24362"/>
    <w:rsid w:val="00E36EAE"/>
    <w:rsid w:val="00E55FC8"/>
    <w:rsid w:val="00E77FC7"/>
    <w:rsid w:val="00E80C5C"/>
    <w:rsid w:val="00EA0040"/>
    <w:rsid w:val="00EC4711"/>
    <w:rsid w:val="00EC63B8"/>
    <w:rsid w:val="00EE11D9"/>
    <w:rsid w:val="00EF2D86"/>
    <w:rsid w:val="00EF615F"/>
    <w:rsid w:val="00F10EF0"/>
    <w:rsid w:val="00F1267A"/>
    <w:rsid w:val="00F232DE"/>
    <w:rsid w:val="00F33F97"/>
    <w:rsid w:val="00F60FF6"/>
    <w:rsid w:val="00F64603"/>
    <w:rsid w:val="00F821D1"/>
    <w:rsid w:val="00F8327D"/>
    <w:rsid w:val="00F83CBB"/>
    <w:rsid w:val="00F8423B"/>
    <w:rsid w:val="00FA1D78"/>
    <w:rsid w:val="00FA2F98"/>
    <w:rsid w:val="00FC08B3"/>
    <w:rsid w:val="00FC0BAD"/>
    <w:rsid w:val="00FE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989FF"/>
  <w15:docId w15:val="{60DDFAA1-687C-4C75-BAEB-C8E10545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B5DDC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751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7511F8"/>
  </w:style>
  <w:style w:type="paragraph" w:styleId="AltBilgi">
    <w:name w:val="footer"/>
    <w:basedOn w:val="Normal"/>
    <w:link w:val="AltBilgiChar"/>
    <w:uiPriority w:val="99"/>
    <w:unhideWhenUsed/>
    <w:rsid w:val="00751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11F8"/>
  </w:style>
  <w:style w:type="paragraph" w:styleId="BalonMetni">
    <w:name w:val="Balloon Text"/>
    <w:basedOn w:val="Normal"/>
    <w:link w:val="BalonMetniChar"/>
    <w:uiPriority w:val="99"/>
    <w:semiHidden/>
    <w:unhideWhenUsed/>
    <w:rsid w:val="008A3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3A0C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3378EC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C4B24"/>
    <w:rPr>
      <w:color w:val="808080"/>
      <w:shd w:val="clear" w:color="auto" w:fill="E6E6E6"/>
    </w:rPr>
  </w:style>
  <w:style w:type="table" w:styleId="TabloKlavuzu">
    <w:name w:val="Table Grid"/>
    <w:basedOn w:val="NormalTablo"/>
    <w:uiPriority w:val="39"/>
    <w:rsid w:val="006A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-TableText">
    <w:name w:val="19-Table Text"/>
    <w:qFormat/>
    <w:rsid w:val="003E0AEB"/>
    <w:pPr>
      <w:widowControl w:val="0"/>
      <w:spacing w:after="0" w:line="200" w:lineRule="exact"/>
      <w:jc w:val="center"/>
    </w:pPr>
    <w:rPr>
      <w:rFonts w:ascii="Times New Roman" w:eastAsia="Times New Roman" w:hAnsi="Times New Roman" w:cs="Times New Roman"/>
      <w:bCs/>
      <w:sz w:val="16"/>
      <w:szCs w:val="16"/>
      <w:lang w:val="en-US" w:eastAsia="zh-CN"/>
    </w:rPr>
  </w:style>
  <w:style w:type="table" w:styleId="KlavuzTablo2-Vurgu4">
    <w:name w:val="Grid Table 2 Accent 4"/>
    <w:basedOn w:val="NormalTablo"/>
    <w:uiPriority w:val="47"/>
    <w:rsid w:val="00964E2C"/>
    <w:pPr>
      <w:spacing w:after="0" w:line="240" w:lineRule="auto"/>
    </w:pPr>
    <w:rPr>
      <w:rFonts w:ascii="Calibri" w:eastAsia="Times New Roman" w:hAnsi="Calibri" w:cs="Arial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orcid-id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postafirst@eposta.com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orcid.org/orcid-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postasecond@eposta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itejournal.com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exper_1437</dc:creator>
  <cp:keywords/>
  <dc:description/>
  <cp:lastModifiedBy>sayim@live.com</cp:lastModifiedBy>
  <cp:revision>40</cp:revision>
  <cp:lastPrinted>2018-01-08T15:44:00Z</cp:lastPrinted>
  <dcterms:created xsi:type="dcterms:W3CDTF">2017-12-21T08:43:00Z</dcterms:created>
  <dcterms:modified xsi:type="dcterms:W3CDTF">2026-03-31T06:51:00Z</dcterms:modified>
</cp:coreProperties>
</file>